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header12.xml" ContentType="application/vnd.openxmlformats-officedocument.wordprocessingml.head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oter13.xml" ContentType="application/vnd.openxmlformats-officedocument.wordprocessingml.footer+xml"/>
  <Override PartName="/word/header17.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81B30D" w14:textId="40653D8F" w:rsidR="00502BB2" w:rsidRDefault="009672E9">
      <w:pPr>
        <w:rPr>
          <w:rFonts w:ascii="Arial" w:eastAsia="Arial" w:hAnsi="Arial" w:cs="Arial"/>
          <w:color w:val="000000"/>
          <w:sz w:val="24"/>
          <w:szCs w:val="24"/>
          <w:lang w:eastAsia="fr-FR"/>
        </w:rPr>
      </w:pPr>
      <w:r>
        <w:rPr>
          <w:noProof/>
        </w:rPr>
        <mc:AlternateContent>
          <mc:Choice Requires="wps">
            <w:drawing>
              <wp:anchor distT="0" distB="0" distL="114300" distR="114300" simplePos="0" relativeHeight="251685888" behindDoc="0" locked="0" layoutInCell="1" allowOverlap="1" wp14:anchorId="2D3EEA6D" wp14:editId="3806DA82">
                <wp:simplePos x="0" y="0"/>
                <wp:positionH relativeFrom="column">
                  <wp:posOffset>-300536</wp:posOffset>
                </wp:positionH>
                <wp:positionV relativeFrom="paragraph">
                  <wp:posOffset>7328807</wp:posOffset>
                </wp:positionV>
                <wp:extent cx="7049770" cy="172085"/>
                <wp:effectExtent l="0" t="0" r="0" b="0"/>
                <wp:wrapNone/>
                <wp:docPr id="143" name="Rectangle 1"/>
                <wp:cNvGraphicFramePr/>
                <a:graphic xmlns:a="http://schemas.openxmlformats.org/drawingml/2006/main">
                  <a:graphicData uri="http://schemas.microsoft.com/office/word/2010/wordprocessingShape">
                    <wps:wsp>
                      <wps:cNvSpPr/>
                      <wps:spPr>
                        <a:xfrm>
                          <a:off x="0" y="0"/>
                          <a:ext cx="7049770" cy="172085"/>
                        </a:xfrm>
                        <a:prstGeom prst="rect">
                          <a:avLst/>
                        </a:prstGeom>
                        <a:ln>
                          <a:noFill/>
                        </a:ln>
                      </wps:spPr>
                      <wps:txbx>
                        <w:txbxContent>
                          <w:p w14:paraId="39944E4F" w14:textId="7A1B97E6" w:rsidR="009672E9" w:rsidRDefault="009672E9" w:rsidP="009672E9">
                            <w:r>
                              <w:rPr>
                                <w:rFonts w:ascii="Tw Cen MT" w:eastAsia="Tw Cen MT" w:hAnsi="Tw Cen MT" w:cs="Tw Cen MT"/>
                              </w:rPr>
                              <w:t xml:space="preserve">  Invité               MEDJADI Sidi Mohamed                 Professeur                CHU de Tlemcen</w:t>
                            </w:r>
                          </w:p>
                          <w:p w14:paraId="0E868034" w14:textId="098D0857" w:rsidR="00502BB2" w:rsidRDefault="0069123E">
                            <w:r>
                              <w:rPr>
                                <w:rFonts w:ascii="Tw Cen MT" w:eastAsia="Tw Cen MT" w:hAnsi="Tw Cen MT" w:cs="Tw Cen MT"/>
                              </w:rPr>
                              <w:t xml:space="preserve">            </w:t>
                            </w:r>
                          </w:p>
                        </w:txbxContent>
                      </wps:txbx>
                      <wps:bodyPr horzOverflow="overflow" vert="horz" lIns="0" tIns="0" rIns="0" bIns="0" rtlCol="0">
                        <a:noAutofit/>
                      </wps:bodyPr>
                    </wps:wsp>
                  </a:graphicData>
                </a:graphic>
              </wp:anchor>
            </w:drawing>
          </mc:Choice>
          <mc:Fallback>
            <w:pict>
              <v:rect w14:anchorId="2D3EEA6D" id="Rectangle 1" o:spid="_x0000_s1026" style="position:absolute;margin-left:-23.65pt;margin-top:577.05pt;width:555.1pt;height:13.5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c6ulQEAACYDAAAOAAAAZHJzL2Uyb0RvYy54bWysUsFu2zAMvRfYPwi6L3aCbemMOMWwokOB&#10;oS3Q7QMUWYoFSKJAqbGzrx8lO8nQ3Ype6CeSJh8fubkZnWUHhdGAb/lyUXOmvITO+H3Lf/+6+3jN&#10;WUzCd8KCVy0/qshvth+uNkNo1Ap6sJ1CRkV8bIbQ8j6l0FRVlL1yIi4gKE9BDehEoifuqw7FQNWd&#10;rVZ1/aUaALuAIFWM5L2dgnxb6mutZHrUOqrEbMuJWyoWi91lW203otmjCL2RMw3xBhZOGE9Nz6Vu&#10;RRLsBc1/pZyRCBF0WkhwFWhtpCoz0DTL+tU0z70IqsxC4sRwlim+X1n5cHgOT0gyDCE2kWCeYtTo&#10;8pf4sbGIdTyLpcbEJDnX9aev6zVpKim2XK/q689Zzeryd8CYfihwLIOWIy2jaCQOP2OaUk8puZn1&#10;2Xq4M9ZO0eypLrwySuNunMnuoDs+IesB/zzSBWoLQ8thRjwfJTXNUc7svSfN8v5PAE9gdwKY7Hco&#10;VzLR+PaSQJvCMzeeus18aBll0vlw8rb/fZesy3lv/wIAAP//AwBQSwMEFAAGAAgAAAAhAD3bpa7j&#10;AAAADgEAAA8AAABkcnMvZG93bnJldi54bWxMj8tOwzAQRfdI/IM1SOxaJ6GUJMSpKh5ql9AiFXZu&#10;PCQR9jiK3Sbw9TgrWM7coztnitVoNDtj71pLAuJ5BAypsqqlWsDb/nmWAnNekpLaEgr4Rger8vKi&#10;kLmyA73ieedrFkrI5VJA432Xc+6qBo10c9shhezT9kb6MPY1V70cQrnRPImiJTeypXChkR0+NFh9&#10;7U5GwCbt1u9b+zPU+uljc3g5ZI/7zAtxfTWu74F5HP0fDJN+UIcyOB3tiZRjWsBscXcT0BDEt4sY&#10;2IREyyQDdpx2aZwALwv+/43yFwAA//8DAFBLAQItABQABgAIAAAAIQC2gziS/gAAAOEBAAATAAAA&#10;AAAAAAAAAAAAAAAAAABbQ29udGVudF9UeXBlc10ueG1sUEsBAi0AFAAGAAgAAAAhADj9If/WAAAA&#10;lAEAAAsAAAAAAAAAAAAAAAAALwEAAF9yZWxzLy5yZWxzUEsBAi0AFAAGAAgAAAAhAFdZzq6VAQAA&#10;JgMAAA4AAAAAAAAAAAAAAAAALgIAAGRycy9lMm9Eb2MueG1sUEsBAi0AFAAGAAgAAAAhAD3bpa7j&#10;AAAADgEAAA8AAAAAAAAAAAAAAAAA7wMAAGRycy9kb3ducmV2LnhtbFBLBQYAAAAABAAEAPMAAAD/&#10;BAAAAAA=&#10;" filled="f" stroked="f">
                <v:textbox inset="0,0,0,0">
                  <w:txbxContent>
                    <w:p w14:paraId="39944E4F" w14:textId="7A1B97E6" w:rsidR="009672E9" w:rsidRDefault="009672E9" w:rsidP="009672E9">
                      <w:r>
                        <w:rPr>
                          <w:rFonts w:ascii="Tw Cen MT" w:eastAsia="Tw Cen MT" w:hAnsi="Tw Cen MT" w:cs="Tw Cen MT"/>
                        </w:rPr>
                        <w:t xml:space="preserve">  Invité               MEDJADI Sidi Mohamed                 Professeur                CHU de Tlemcen</w:t>
                      </w:r>
                    </w:p>
                    <w:p w14:paraId="0E868034" w14:textId="098D0857" w:rsidR="00502BB2" w:rsidRDefault="0069123E">
                      <w:r>
                        <w:rPr>
                          <w:rFonts w:ascii="Tw Cen MT" w:eastAsia="Tw Cen MT" w:hAnsi="Tw Cen MT" w:cs="Tw Cen MT"/>
                        </w:rPr>
                        <w:t xml:space="preserve">            </w:t>
                      </w:r>
                    </w:p>
                  </w:txbxContent>
                </v:textbox>
              </v:rect>
            </w:pict>
          </mc:Fallback>
        </mc:AlternateContent>
      </w:r>
      <w:r>
        <w:rPr>
          <w:noProof/>
        </w:rPr>
        <mc:AlternateContent>
          <mc:Choice Requires="wps">
            <w:drawing>
              <wp:anchor distT="0" distB="0" distL="114300" distR="114300" simplePos="0" relativeHeight="251682816" behindDoc="0" locked="0" layoutInCell="1" allowOverlap="1" wp14:anchorId="1F010517" wp14:editId="4CAF7A23">
                <wp:simplePos x="0" y="0"/>
                <wp:positionH relativeFrom="column">
                  <wp:posOffset>3885565</wp:posOffset>
                </wp:positionH>
                <wp:positionV relativeFrom="paragraph">
                  <wp:posOffset>6987268</wp:posOffset>
                </wp:positionV>
                <wp:extent cx="1652270" cy="172085"/>
                <wp:effectExtent l="0" t="0" r="0" b="0"/>
                <wp:wrapNone/>
                <wp:docPr id="110" name="Rectangle 1"/>
                <wp:cNvGraphicFramePr/>
                <a:graphic xmlns:a="http://schemas.openxmlformats.org/drawingml/2006/main">
                  <a:graphicData uri="http://schemas.microsoft.com/office/word/2010/wordprocessingShape">
                    <wps:wsp>
                      <wps:cNvSpPr/>
                      <wps:spPr>
                        <a:xfrm>
                          <a:off x="0" y="0"/>
                          <a:ext cx="1652270" cy="172085"/>
                        </a:xfrm>
                        <a:prstGeom prst="rect">
                          <a:avLst/>
                        </a:prstGeom>
                        <a:ln>
                          <a:noFill/>
                        </a:ln>
                      </wps:spPr>
                      <wps:txbx>
                        <w:txbxContent>
                          <w:p w14:paraId="2DE81EAF" w14:textId="77777777" w:rsidR="00502BB2" w:rsidRDefault="0069123E">
                            <w:r>
                              <w:rPr>
                                <w:rFonts w:ascii="Tw Cen MT" w:eastAsia="Tw Cen MT" w:hAnsi="Tw Cen MT" w:cs="Tw Cen MT"/>
                              </w:rPr>
                              <w:t xml:space="preserve">Université de Tlemcen </w:t>
                            </w:r>
                          </w:p>
                        </w:txbxContent>
                      </wps:txbx>
                      <wps:bodyPr horzOverflow="overflow" vert="horz" lIns="0" tIns="0" rIns="0" bIns="0" rtlCol="0">
                        <a:noAutofit/>
                      </wps:bodyPr>
                    </wps:wsp>
                  </a:graphicData>
                </a:graphic>
              </wp:anchor>
            </w:drawing>
          </mc:Choice>
          <mc:Fallback>
            <w:pict>
              <v:rect w14:anchorId="1F010517" id="_x0000_s1027" style="position:absolute;margin-left:305.95pt;margin-top:550.2pt;width:130.1pt;height:13.5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275lwEAAC0DAAAOAAAAZHJzL2Uyb0RvYy54bWysUttqHDEMfS/kH4zfu54dyIVhZ0NpSCmU&#10;JJD2A7wee8dgW0Z2dmb79ZG9t9C+lb5ojiWNdHSk1f3sHdtpTBZCz5eLhjMdFAw2bHv+6+fj5zvO&#10;UpZhkA6C7vleJ36/vvq0mmKnWxjBDRoZFQmpm2LPx5xjJ0RSo/YyLSDqQEED6GWmJ27FgHKi6t6J&#10;tmluxAQ4RASlUyLvwyHI17W+MVrlZ2OSzsz1nLjlarHaTbFivZLdFmUcrTrSkP/AwksbqOm51IPM&#10;kr2h/auUtwohgckLBV6AMVbpOgNNs2z+mOZ1lFHXWUicFM8ypf9XVj3tXuMLkgxTTF0iWKaYDfry&#10;JX5srmLtz2LpOTNFzuXNddvekqaKYsvbtrm7LmqKy98RU/6mwbMCeo60jKqR3P1I+ZB6SinNXCg2&#10;wKN17hAtHnHhVVCeNzOzA3UszYpnA8P+BdkI+PuZDtE4mHoOR8TLbVLvEuXMfQ8kXTmDE8AT2JwA&#10;ZvcV6rEc2Hx5y2BspXvpdqRFO6kDH++nLP3ju2Zdrnz9DgAA//8DAFBLAwQUAAYACAAAACEAxCwA&#10;9eIAAAANAQAADwAAAGRycy9kb3ducmV2LnhtbEyPy07DMBBF90j8gzVI7KjtCNokxKkqHirL0iIV&#10;dm4yJBF+RLHbBL6e6QqWM/fozpliOVnDTjiEzjsFciaAoat83blGwdvu+SYFFqJ2tTbeoYJvDLAs&#10;Ly8Kndd+dK942saGUYkLuVbQxtjnnIeqRavDzPfoKPv0g9WRxqHh9aBHKreGJ0LMudWdowut7vGh&#10;xepre7QK1mm/en/xP2Njnj7W+80+e9xlUanrq2l1DyziFP9gOOuTOpTkdPBHVwdmFMylzAilQApx&#10;C4yQdJFIYIfzKlncAS8L/v+L8hcAAP//AwBQSwECLQAUAAYACAAAACEAtoM4kv4AAADhAQAAEwAA&#10;AAAAAAAAAAAAAAAAAAAAW0NvbnRlbnRfVHlwZXNdLnhtbFBLAQItABQABgAIAAAAIQA4/SH/1gAA&#10;AJQBAAALAAAAAAAAAAAAAAAAAC8BAABfcmVscy8ucmVsc1BLAQItABQABgAIAAAAIQDFQ275lwEA&#10;AC0DAAAOAAAAAAAAAAAAAAAAAC4CAABkcnMvZTJvRG9jLnhtbFBLAQItABQABgAIAAAAIQDELAD1&#10;4gAAAA0BAAAPAAAAAAAAAAAAAAAAAPEDAABkcnMvZG93bnJldi54bWxQSwUGAAAAAAQABADzAAAA&#10;AAUAAAAA&#10;" filled="f" stroked="f">
                <v:textbox inset="0,0,0,0">
                  <w:txbxContent>
                    <w:p w14:paraId="2DE81EAF" w14:textId="77777777" w:rsidR="00502BB2" w:rsidRDefault="0069123E">
                      <w:r>
                        <w:rPr>
                          <w:rFonts w:ascii="Tw Cen MT" w:eastAsia="Tw Cen MT" w:hAnsi="Tw Cen MT" w:cs="Tw Cen MT"/>
                        </w:rPr>
                        <w:t xml:space="preserve">Université de Tlemcen </w:t>
                      </w:r>
                    </w:p>
                  </w:txbxContent>
                </v:textbox>
              </v:rect>
            </w:pict>
          </mc:Fallback>
        </mc:AlternateContent>
      </w:r>
      <w:r>
        <w:rPr>
          <w:noProof/>
        </w:rPr>
        <mc:AlternateContent>
          <mc:Choice Requires="wps">
            <w:drawing>
              <wp:anchor distT="0" distB="0" distL="114300" distR="114300" simplePos="0" relativeHeight="251684864" behindDoc="0" locked="0" layoutInCell="1" allowOverlap="1" wp14:anchorId="56894200" wp14:editId="68681F2E">
                <wp:simplePos x="0" y="0"/>
                <wp:positionH relativeFrom="column">
                  <wp:posOffset>-249827</wp:posOffset>
                </wp:positionH>
                <wp:positionV relativeFrom="paragraph">
                  <wp:posOffset>6988084</wp:posOffset>
                </wp:positionV>
                <wp:extent cx="5198745" cy="172085"/>
                <wp:effectExtent l="0" t="0" r="0" b="0"/>
                <wp:wrapNone/>
                <wp:docPr id="137" name="Rectangle 1"/>
                <wp:cNvGraphicFramePr/>
                <a:graphic xmlns:a="http://schemas.openxmlformats.org/drawingml/2006/main">
                  <a:graphicData uri="http://schemas.microsoft.com/office/word/2010/wordprocessingShape">
                    <wps:wsp>
                      <wps:cNvSpPr/>
                      <wps:spPr>
                        <a:xfrm>
                          <a:off x="0" y="0"/>
                          <a:ext cx="5198745" cy="172085"/>
                        </a:xfrm>
                        <a:prstGeom prst="rect">
                          <a:avLst/>
                        </a:prstGeom>
                        <a:ln>
                          <a:noFill/>
                        </a:ln>
                      </wps:spPr>
                      <wps:txbx>
                        <w:txbxContent>
                          <w:p w14:paraId="30FC2694" w14:textId="77777777" w:rsidR="00502BB2" w:rsidRDefault="0069123E">
                            <w:r>
                              <w:rPr>
                                <w:rFonts w:ascii="Tw Cen MT" w:eastAsia="Tw Cen MT" w:hAnsi="Tw Cen MT" w:cs="Tw Cen MT"/>
                              </w:rPr>
                              <w:t xml:space="preserve">Encadrant          SAKER Meriem                               Professeur          </w:t>
                            </w:r>
                          </w:p>
                        </w:txbxContent>
                      </wps:txbx>
                      <wps:bodyPr horzOverflow="overflow" vert="horz" lIns="0" tIns="0" rIns="0" bIns="0" rtlCol="0">
                        <a:noAutofit/>
                      </wps:bodyPr>
                    </wps:wsp>
                  </a:graphicData>
                </a:graphic>
              </wp:anchor>
            </w:drawing>
          </mc:Choice>
          <mc:Fallback>
            <w:pict>
              <v:rect w14:anchorId="56894200" id="_x0000_s1028" style="position:absolute;margin-left:-19.65pt;margin-top:550.25pt;width:409.35pt;height:13.5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QXFmgEAAC0DAAAOAAAAZHJzL2Uyb0RvYy54bWysUttu2zAMfR+wfxD0vsgJljUz4hTFig4D&#10;hrVAuw9QZCkWIIkCpcbOvn6Uchu2t6Ev9BFJk4eHXN9O3rG9xmQhdHw+azjTQUFvw67jP18ePqw4&#10;S1mGXjoIuuMHnfjt5v279RhbvYABXK+RUZGQ2jF2fMg5tkIkNWgv0wyiDhQ0gF5meuJO9ChHqu6d&#10;WDTNJzEC9hFB6ZTIe38M8k2tb4xW+dGYpDNzHSduuVqsdlus2Kxlu0MZB6tONOR/sPDSBmp6KXUv&#10;s2SvaP8p5a1CSGDyTIEXYIxVus5A08ybv6Z5HmTUdRYSJ8WLTOntyqof++f4hCTDGFObCJYpJoO+&#10;fIkfm6pYh4tYespMkXM5/7y6+bjkTFFsfrNoVsuiprj+HTHlrxo8K6DjSMuoGsn995SPqeeU0syF&#10;YgM8WOeO0eIRV14F5Wk7Mdt3fFGaFc8W+sMTsgHw1yMdonEwdhxOiJfbpN4lypn7Fki6cgZngGew&#10;PQPM7gvUYzmyuXvNYGyle+12okU7qQOf7qcs/c93zbpe+eY3AAAA//8DAFBLAwQUAAYACAAAACEA&#10;1IAMgOMAAAANAQAADwAAAGRycy9kb3ducmV2LnhtbEyPy07DMBBF90j8gzVI7Fq7LTRNiFNVPFSW&#10;9CEVdm48JBH2OIrdJvD1uCtYztyjO2fy5WANO2PnG0cSJmMBDKl0uqFKwn73MloA80GRVsYRSvhG&#10;D8vi+ipXmXY9bfC8DRWLJeQzJaEOoc0492WNVvmxa5Fi9uk6q0Icu4rrTvWx3Bo+FWLOrWooXqhV&#10;i481ll/bk5WwXrSr91f301fm+WN9eDukT7s0SHl7M6wegAUcwh8MF/2oDkV0OroTac+MhNEsnUU0&#10;BhMh7oFFJEnSO2DHy2qazIEXOf//RfELAAD//wMAUEsBAi0AFAAGAAgAAAAhALaDOJL+AAAA4QEA&#10;ABMAAAAAAAAAAAAAAAAAAAAAAFtDb250ZW50X1R5cGVzXS54bWxQSwECLQAUAAYACAAAACEAOP0h&#10;/9YAAACUAQAACwAAAAAAAAAAAAAAAAAvAQAAX3JlbHMvLnJlbHNQSwECLQAUAAYACAAAACEAzqUF&#10;xZoBAAAtAwAADgAAAAAAAAAAAAAAAAAuAgAAZHJzL2Uyb0RvYy54bWxQSwECLQAUAAYACAAAACEA&#10;1IAMgOMAAAANAQAADwAAAAAAAAAAAAAAAAD0AwAAZHJzL2Rvd25yZXYueG1sUEsFBgAAAAAEAAQA&#10;8wAAAAQFAAAAAA==&#10;" filled="f" stroked="f">
                <v:textbox inset="0,0,0,0">
                  <w:txbxContent>
                    <w:p w14:paraId="30FC2694" w14:textId="77777777" w:rsidR="00502BB2" w:rsidRDefault="0069123E">
                      <w:r>
                        <w:rPr>
                          <w:rFonts w:ascii="Tw Cen MT" w:eastAsia="Tw Cen MT" w:hAnsi="Tw Cen MT" w:cs="Tw Cen MT"/>
                        </w:rPr>
                        <w:t xml:space="preserve">Encadrant          SAKER Meriem                               Professeur          </w:t>
                      </w:r>
                    </w:p>
                  </w:txbxContent>
                </v:textbox>
              </v:rect>
            </w:pict>
          </mc:Fallback>
        </mc:AlternateContent>
      </w:r>
      <w:r>
        <w:rPr>
          <w:noProof/>
        </w:rPr>
        <mc:AlternateContent>
          <mc:Choice Requires="wps">
            <w:drawing>
              <wp:anchor distT="0" distB="0" distL="114300" distR="114300" simplePos="0" relativeHeight="251683840" behindDoc="0" locked="0" layoutInCell="1" allowOverlap="1" wp14:anchorId="5D392904" wp14:editId="31C6D3A0">
                <wp:simplePos x="0" y="0"/>
                <wp:positionH relativeFrom="column">
                  <wp:posOffset>-246652</wp:posOffset>
                </wp:positionH>
                <wp:positionV relativeFrom="paragraph">
                  <wp:posOffset>6611257</wp:posOffset>
                </wp:positionV>
                <wp:extent cx="5540829" cy="239485"/>
                <wp:effectExtent l="0" t="0" r="0" b="0"/>
                <wp:wrapNone/>
                <wp:docPr id="114" name="Rectangle 1"/>
                <wp:cNvGraphicFramePr/>
                <a:graphic xmlns:a="http://schemas.openxmlformats.org/drawingml/2006/main">
                  <a:graphicData uri="http://schemas.microsoft.com/office/word/2010/wordprocessingShape">
                    <wps:wsp>
                      <wps:cNvSpPr/>
                      <wps:spPr>
                        <a:xfrm>
                          <a:off x="0" y="0"/>
                          <a:ext cx="5540829" cy="239485"/>
                        </a:xfrm>
                        <a:prstGeom prst="rect">
                          <a:avLst/>
                        </a:prstGeom>
                        <a:ln>
                          <a:noFill/>
                        </a:ln>
                      </wps:spPr>
                      <wps:txbx>
                        <w:txbxContent>
                          <w:p w14:paraId="6175E7B5" w14:textId="77777777" w:rsidR="009672E9" w:rsidRDefault="009672E9" w:rsidP="009672E9">
                            <w:r>
                              <w:rPr>
                                <w:rFonts w:ascii="Tw Cen MT" w:eastAsia="Tw Cen MT" w:hAnsi="Tw Cen MT" w:cs="Tw Cen MT"/>
                              </w:rPr>
                              <w:t>Examinateur      MEDJDOUB Amel                            Professeur                 Université d’Oran 1</w:t>
                            </w:r>
                          </w:p>
                          <w:p w14:paraId="21C72ECB" w14:textId="7735AE8A" w:rsidR="00502BB2" w:rsidRDefault="00502BB2"/>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5D392904" id="_x0000_s1029" style="position:absolute;margin-left:-19.4pt;margin-top:520.55pt;width:436.3pt;height:18.8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1LIpAEAADsDAAAOAAAAZHJzL2Uyb0RvYy54bWysUttuEzEQfUfiHyy/k92mDUpXcSpEVYSE&#10;aKXCBzheO2vJ9pixk93w9YydG4I3xMvs8Yx35szxWT1M3rG9xmQhCH4zaznTQUFvw1bw79+e3i05&#10;S1mGXjoIWvCDTvxh/fbNaoydnsMArtfIqElI3RgFH3KOXdMkNWgv0wyiDlQ0gF5mOuK26VGO1N27&#10;Zt6275sRsI8ISqdE2cdjka9rf2O0ys/GJJ2ZE5y45Rqxxk2JzXoluy3KOFh1oiH/gYWXNtDQS6tH&#10;mSXbof2rlbcKIYHJMwW+AWOs0nUH2uam/WOb10FGXXchcVK8yJT+X1v1df8aX5BkGGPqEsGyxWTQ&#10;ly/xY1MV63ARS0+ZKUouFnftcn7PmaLa/Pb+brkoajbXvyOm/EmDZwUIjvQYVSO5/5Ly8er5Shnm&#10;QokBnqxzx2rJNFdeBeVpMzHbC35bhpXMBvrDC7IB8OczGdE4GAWHE+LFmzS7VDkb6Z0FTz92EjVn&#10;7nMgIYspzgDPYHMGmN1HqNY5cvuwy2BsJX+dfSJJL1TXP7mpWOD3c7119fz6FwAAAP//AwBQSwME&#10;FAAGAAgAAAAhACugJfnhAAAADQEAAA8AAABkcnMvZG93bnJldi54bWxMj81OwzAQhO9IvIO1SNxa&#10;JwRBGuJUFT8qR2iRCjc3XpIIex3FbhN4erYnOO7MaPabcjk5K444hM6TgnSegECqvemoUfC2fZrl&#10;IELUZLT1hAq+McCyOj8rdWH8SK943MRGcAmFQitoY+wLKUPdotNh7nsk9j794HTkc2ikGfTI5c7K&#10;qyS5kU53xB9a3eN9i/XX5uAUrPN+9f7sf8bGPn6sdy+7xcN2EZW6vJhWdyAiTvEvDCd8RoeKmfb+&#10;QCYIq2CW5Ywe2Uiu0xQER/IsY2l/km7ZlFUp/6+ofgEAAP//AwBQSwECLQAUAAYACAAAACEAtoM4&#10;kv4AAADhAQAAEwAAAAAAAAAAAAAAAAAAAAAAW0NvbnRlbnRfVHlwZXNdLnhtbFBLAQItABQABgAI&#10;AAAAIQA4/SH/1gAAAJQBAAALAAAAAAAAAAAAAAAAAC8BAABfcmVscy8ucmVsc1BLAQItABQABgAI&#10;AAAAIQAyV1LIpAEAADsDAAAOAAAAAAAAAAAAAAAAAC4CAABkcnMvZTJvRG9jLnhtbFBLAQItABQA&#10;BgAIAAAAIQAroCX54QAAAA0BAAAPAAAAAAAAAAAAAAAAAP4DAABkcnMvZG93bnJldi54bWxQSwUG&#10;AAAAAAQABADzAAAADAUAAAAA&#10;" filled="f" stroked="f">
                <v:textbox inset="0,0,0,0">
                  <w:txbxContent>
                    <w:p w14:paraId="6175E7B5" w14:textId="77777777" w:rsidR="009672E9" w:rsidRDefault="009672E9" w:rsidP="009672E9">
                      <w:r>
                        <w:rPr>
                          <w:rFonts w:ascii="Tw Cen MT" w:eastAsia="Tw Cen MT" w:hAnsi="Tw Cen MT" w:cs="Tw Cen MT"/>
                        </w:rPr>
                        <w:t>Examinateur      MEDJDOUB Amel                            Professeur                 Université d’Oran 1</w:t>
                      </w:r>
                    </w:p>
                    <w:p w14:paraId="21C72ECB" w14:textId="7735AE8A" w:rsidR="00502BB2" w:rsidRDefault="00502BB2"/>
                  </w:txbxContent>
                </v:textbox>
              </v:rect>
            </w:pict>
          </mc:Fallback>
        </mc:AlternateContent>
      </w:r>
      <w:r>
        <w:rPr>
          <w:noProof/>
        </w:rPr>
        <mc:AlternateContent>
          <mc:Choice Requires="wps">
            <w:drawing>
              <wp:anchor distT="0" distB="0" distL="114300" distR="114300" simplePos="0" relativeHeight="251681792" behindDoc="0" locked="0" layoutInCell="1" allowOverlap="1" wp14:anchorId="6D5222F7" wp14:editId="394278C7">
                <wp:simplePos x="0" y="0"/>
                <wp:positionH relativeFrom="column">
                  <wp:posOffset>-246652</wp:posOffset>
                </wp:positionH>
                <wp:positionV relativeFrom="paragraph">
                  <wp:posOffset>6186805</wp:posOffset>
                </wp:positionV>
                <wp:extent cx="5573032" cy="217714"/>
                <wp:effectExtent l="0" t="0" r="0" b="0"/>
                <wp:wrapNone/>
                <wp:docPr id="101" name="Rectangle 1"/>
                <wp:cNvGraphicFramePr/>
                <a:graphic xmlns:a="http://schemas.openxmlformats.org/drawingml/2006/main">
                  <a:graphicData uri="http://schemas.microsoft.com/office/word/2010/wordprocessingShape">
                    <wps:wsp>
                      <wps:cNvSpPr/>
                      <wps:spPr>
                        <a:xfrm>
                          <a:off x="0" y="0"/>
                          <a:ext cx="5573032" cy="217714"/>
                        </a:xfrm>
                        <a:prstGeom prst="rect">
                          <a:avLst/>
                        </a:prstGeom>
                        <a:ln>
                          <a:noFill/>
                        </a:ln>
                      </wps:spPr>
                      <wps:txbx>
                        <w:txbxContent>
                          <w:p w14:paraId="7D2DACAB" w14:textId="77777777" w:rsidR="009672E9" w:rsidRDefault="009672E9" w:rsidP="009672E9">
                            <w:r>
                              <w:rPr>
                                <w:rFonts w:ascii="Tw Cen MT" w:eastAsia="Tw Cen MT" w:hAnsi="Tw Cen MT" w:cs="Tw Cen MT"/>
                              </w:rPr>
                              <w:t xml:space="preserve">Président         CHERRAK Sabri Ahmed                     Professeur                 Université de Tlemcen   </w:t>
                            </w:r>
                          </w:p>
                          <w:p w14:paraId="47871CCA" w14:textId="40259764" w:rsidR="00502BB2" w:rsidRDefault="00502BB2"/>
                        </w:txbxContent>
                      </wps:txbx>
                      <wps:bodyPr horzOverflow="overflow" vert="horz"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rect w14:anchorId="6D5222F7" id="_x0000_s1030" style="position:absolute;margin-left:-19.4pt;margin-top:487.15pt;width:438.8pt;height:17.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XKogEAADsDAAAOAAAAZHJzL2Uyb0RvYy54bWysUttuEzEQfUfiHyy/k92klKBVnApRFSEh&#10;WqnwAY7XzlqyPWbsZDd8PWPnhuCt6svs8Yx35szxWd1N3rG9xmQhCD6ftZzpoKC3YSv4zx8P7z5y&#10;lrIMvXQQtOAHnfjd+u2b1Rg7vYABXK+RUZOQujEKPuQcu6ZJatBephlEHahoAL3MdMRt06Mcqbt3&#10;zaJtPzQjYB8RlE6JsvfHIl/X/sZolR+NSTozJzhxyzVijZsSm/VKdluUcbDqREO+gIWXNtDQS6t7&#10;mSXbof2vlbcKIYHJMwW+AWOs0nUH2mbe/rPN8yCjrruQOCleZEqv11Z93z/HJyQZxpi6RLBsMRn0&#10;5Uv82FTFOlzE0lNmipK3t8ub9mbBmaLaYr5czt8XNZvr3xFT/qLBswIER3qMqpHcf0v5ePV8pQxz&#10;ocQAD9a5Y7VkmiuvgvK0mZjtBa/DSmYD/eEJ2QD4+5GMaByMgsMJ8eJNml2qnI30zoKnXzuJmjP3&#10;NZCQxRRngGewOQPM7jNU6xy5fdplMLaSv84+kaQXquuf3FQs8Pe53rp6fv0HAAD//wMAUEsDBBQA&#10;BgAIAAAAIQCna1Yo4QAAAAwBAAAPAAAAZHJzL2Rvd25yZXYueG1sTI/LTsMwEEX3SPyDNUjsWhuK&#10;ihPiVBUPlSW0SIWdGw9JhB9R7DZpv56BDSxn5ujOucVidJYdsI9t8AqupgIY+iqY1tcK3jZPEwks&#10;Ju2NtsGjgiNGWJTnZ4XOTRj8Kx7WqWYU4mOuFTQpdTnnsWrQ6TgNHXq6fYbe6URjX3PT64HCneXX&#10;Qsy5062nD43u8L7B6mu9dwpWslu+P4fTUNvHj9X2ZZs9bLKk1OXFuLwDlnBMfzD86JM6lOS0C3tv&#10;IrMKJjNJ6klBdnszA0aE/N3sCBVCzoGXBf9fovwGAAD//wMAUEsBAi0AFAAGAAgAAAAhALaDOJL+&#10;AAAA4QEAABMAAAAAAAAAAAAAAAAAAAAAAFtDb250ZW50X1R5cGVzXS54bWxQSwECLQAUAAYACAAA&#10;ACEAOP0h/9YAAACUAQAACwAAAAAAAAAAAAAAAAAvAQAAX3JlbHMvLnJlbHNQSwECLQAUAAYACAAA&#10;ACEAEwP1yqIBAAA7AwAADgAAAAAAAAAAAAAAAAAuAgAAZHJzL2Uyb0RvYy54bWxQSwECLQAUAAYA&#10;CAAAACEAp2tWKOEAAAAMAQAADwAAAAAAAAAAAAAAAAD8AwAAZHJzL2Rvd25yZXYueG1sUEsFBgAA&#10;AAAEAAQA8wAAAAoFAAAAAA==&#10;" filled="f" stroked="f">
                <v:textbox inset="0,0,0,0">
                  <w:txbxContent>
                    <w:p w14:paraId="7D2DACAB" w14:textId="77777777" w:rsidR="009672E9" w:rsidRDefault="009672E9" w:rsidP="009672E9">
                      <w:r>
                        <w:rPr>
                          <w:rFonts w:ascii="Tw Cen MT" w:eastAsia="Tw Cen MT" w:hAnsi="Tw Cen MT" w:cs="Tw Cen MT"/>
                        </w:rPr>
                        <w:t xml:space="preserve">Président         CHERRAK Sabri Ahmed                     Professeur                 Université de Tlemcen   </w:t>
                      </w:r>
                    </w:p>
                    <w:p w14:paraId="47871CCA" w14:textId="40259764" w:rsidR="00502BB2" w:rsidRDefault="00502BB2"/>
                  </w:txbxContent>
                </v:textbox>
              </v:rect>
            </w:pict>
          </mc:Fallback>
        </mc:AlternateContent>
      </w:r>
      <w:r>
        <w:rPr>
          <w:noProof/>
        </w:rPr>
        <mc:AlternateContent>
          <mc:Choice Requires="wps">
            <w:drawing>
              <wp:anchor distT="0" distB="0" distL="114300" distR="114300" simplePos="0" relativeHeight="251686912" behindDoc="0" locked="0" layoutInCell="1" allowOverlap="1" wp14:anchorId="52C3A5C5" wp14:editId="36BB46D1">
                <wp:simplePos x="0" y="0"/>
                <wp:positionH relativeFrom="margin">
                  <wp:posOffset>1755775</wp:posOffset>
                </wp:positionH>
                <wp:positionV relativeFrom="paragraph">
                  <wp:posOffset>7971790</wp:posOffset>
                </wp:positionV>
                <wp:extent cx="2078990" cy="196215"/>
                <wp:effectExtent l="0" t="0" r="0" b="0"/>
                <wp:wrapNone/>
                <wp:docPr id="147" name="Rectangle 1"/>
                <wp:cNvGraphicFramePr/>
                <a:graphic xmlns:a="http://schemas.openxmlformats.org/drawingml/2006/main">
                  <a:graphicData uri="http://schemas.microsoft.com/office/word/2010/wordprocessingShape">
                    <wps:wsp>
                      <wps:cNvSpPr/>
                      <wps:spPr>
                        <a:xfrm>
                          <a:off x="0" y="0"/>
                          <a:ext cx="2079172" cy="195943"/>
                        </a:xfrm>
                        <a:prstGeom prst="rect">
                          <a:avLst/>
                        </a:prstGeom>
                        <a:ln>
                          <a:noFill/>
                        </a:ln>
                      </wps:spPr>
                      <wps:txbx>
                        <w:txbxContent>
                          <w:p w14:paraId="07138D79" w14:textId="77777777" w:rsidR="00502BB2" w:rsidRDefault="0069123E">
                            <w:pPr>
                              <w:rPr>
                                <w:sz w:val="24"/>
                                <w:szCs w:val="24"/>
                              </w:rPr>
                            </w:pPr>
                            <w:r>
                              <w:rPr>
                                <w:rFonts w:ascii="Tw Cen MT" w:eastAsia="Tw Cen MT" w:hAnsi="Tw Cen MT" w:cs="Tw Cen MT"/>
                                <w:b/>
                                <w:sz w:val="24"/>
                                <w:szCs w:val="24"/>
                              </w:rPr>
                              <w:t xml:space="preserve">Année universitaire 2025/2026 </w:t>
                            </w:r>
                          </w:p>
                        </w:txbxContent>
                      </wps:txbx>
                      <wps:bodyPr horzOverflow="overflow" vert="horz" wrap="square" lIns="0" tIns="0" rIns="0" bIns="0" rtlCol="0">
                        <a:noAutofit/>
                      </wps:bodyPr>
                    </wps:wsp>
                  </a:graphicData>
                </a:graphic>
              </wp:anchor>
            </w:drawing>
          </mc:Choice>
          <mc:Fallback>
            <w:pict>
              <v:rect w14:anchorId="52C3A5C5" id="_x0000_s1031" style="position:absolute;margin-left:138.25pt;margin-top:627.7pt;width:163.7pt;height:15.45pt;z-index:251686912;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WxowEAADsDAAAOAAAAZHJzL2Uyb0RvYy54bWysUtuO0zAQfUfiHyy/06SFZbdR3RVitQgJ&#10;sSstfIDr2I0l22PGbpPy9YzdG4I3xMvkeMaZOXN8VveTd2yvMVkIgs9nLWc6KOht2Ar+/dvjmzvO&#10;Upahlw6CFvygE79fv361GmOnFzCA6zUyahJSN0bBh5xj1zRJDdrLNIOoAxUNoJeZjrhtepQjdfeu&#10;WbTt+2YE7COC0ilR9uFY5Ova3xit8pMxSWfmBCduuUascVNis17JbosyDladaMh/YOGlDTT00upB&#10;Zsl2aP9q5a1CSGDyTIFvwBirdN2Btpm3f2zzMsio6y4kTooXmdL/a6u+7l/iM5IMY0xdIli2mAz6&#10;8iV+bKpiHS5i6SkzRclFe7uc3y44U1SbL2+W794WNZvr3xFT/qTBswIER3qMqpHcf0n5ePV8pQxz&#10;ocQAj9a5Y7VkmiuvgvK0mZjtBb8pw0pmA/3hGdkA+POJjGgcjILDCfHiTZpdqpyN9M6Cpx87iZoz&#10;9zmQkMUUZ4BnsDkDzO4jVOscuX3YZTC2kr/OPpGkF6rrn9xULPD7ud66en79CwAA//8DAFBLAwQU&#10;AAYACAAAACEAGuv7POMAAAANAQAADwAAAGRycy9kb3ducmV2LnhtbEyPy07DMBBF90j8gzVI7KhD&#10;StIkxKkqHipLaCsVdm5skgh7HMVuE/h6pitYztyjO2fK5WQNO+nBdw4F3M4iYBprpzpsBOy2zzcZ&#10;MB8kKmkcagHf2sOyurwoZaHciG/6tAkNoxL0hRTQhtAXnPu61Vb6mes1UvbpBisDjUPD1SBHKreG&#10;x1GUcis7pAut7PVDq+uvzdEKWGf96v3F/YyNefpY71/3+eM2D0JcX02re2BBT+EPhrM+qUNFTgd3&#10;ROWZERAv0oRQCuIkuQNGSBrNc2CH8ypL58Crkv//ovoFAAD//wMAUEsBAi0AFAAGAAgAAAAhALaD&#10;OJL+AAAA4QEAABMAAAAAAAAAAAAAAAAAAAAAAFtDb250ZW50X1R5cGVzXS54bWxQSwECLQAUAAYA&#10;CAAAACEAOP0h/9YAAACUAQAACwAAAAAAAAAAAAAAAAAvAQAAX3JlbHMvLnJlbHNQSwECLQAUAAYA&#10;CAAAACEAf2YlsaMBAAA7AwAADgAAAAAAAAAAAAAAAAAuAgAAZHJzL2Uyb0RvYy54bWxQSwECLQAU&#10;AAYACAAAACEAGuv7POMAAAANAQAADwAAAAAAAAAAAAAAAAD9AwAAZHJzL2Rvd25yZXYueG1sUEsF&#10;BgAAAAAEAAQA8wAAAA0FAAAAAA==&#10;" filled="f" stroked="f">
                <v:textbox inset="0,0,0,0">
                  <w:txbxContent>
                    <w:p w14:paraId="07138D79" w14:textId="77777777" w:rsidR="00502BB2" w:rsidRDefault="0069123E">
                      <w:pPr>
                        <w:rPr>
                          <w:sz w:val="24"/>
                          <w:szCs w:val="24"/>
                        </w:rPr>
                      </w:pPr>
                      <w:r>
                        <w:rPr>
                          <w:rFonts w:ascii="Tw Cen MT" w:eastAsia="Tw Cen MT" w:hAnsi="Tw Cen MT" w:cs="Tw Cen MT"/>
                          <w:b/>
                          <w:sz w:val="24"/>
                          <w:szCs w:val="24"/>
                        </w:rPr>
                        <w:t xml:space="preserve">Année universitaire 2025/2026 </w:t>
                      </w:r>
                    </w:p>
                  </w:txbxContent>
                </v:textbox>
                <w10:wrap anchorx="margin"/>
              </v:rect>
            </w:pict>
          </mc:Fallback>
        </mc:AlternateContent>
      </w:r>
      <w:r>
        <w:rPr>
          <w:noProof/>
        </w:rPr>
        <mc:AlternateContent>
          <mc:Choice Requires="wps">
            <w:drawing>
              <wp:anchor distT="0" distB="0" distL="114300" distR="114300" simplePos="0" relativeHeight="251680768" behindDoc="0" locked="0" layoutInCell="1" allowOverlap="1" wp14:anchorId="49988802" wp14:editId="7BA68486">
                <wp:simplePos x="0" y="0"/>
                <wp:positionH relativeFrom="column">
                  <wp:posOffset>1342390</wp:posOffset>
                </wp:positionH>
                <wp:positionV relativeFrom="paragraph">
                  <wp:posOffset>5641975</wp:posOffset>
                </wp:positionV>
                <wp:extent cx="3244215" cy="196215"/>
                <wp:effectExtent l="0" t="0" r="0" b="0"/>
                <wp:wrapNone/>
                <wp:docPr id="97" name="Rectangle 1"/>
                <wp:cNvGraphicFramePr/>
                <a:graphic xmlns:a="http://schemas.openxmlformats.org/drawingml/2006/main">
                  <a:graphicData uri="http://schemas.microsoft.com/office/word/2010/wordprocessingShape">
                    <wps:wsp>
                      <wps:cNvSpPr/>
                      <wps:spPr>
                        <a:xfrm>
                          <a:off x="0" y="0"/>
                          <a:ext cx="3243943" cy="195943"/>
                        </a:xfrm>
                        <a:prstGeom prst="rect">
                          <a:avLst/>
                        </a:prstGeom>
                        <a:ln>
                          <a:noFill/>
                        </a:ln>
                      </wps:spPr>
                      <wps:txbx>
                        <w:txbxContent>
                          <w:p w14:paraId="46D67FBB" w14:textId="47F30099" w:rsidR="009672E9" w:rsidRPr="009672E9" w:rsidRDefault="009672E9" w:rsidP="009672E9">
                            <w:pPr>
                              <w:rPr>
                                <w:rFonts w:ascii="Tw Cen MT" w:eastAsia="Tw Cen MT" w:hAnsi="Tw Cen MT" w:cs="Tw Cen MT"/>
                                <w:sz w:val="24"/>
                                <w:szCs w:val="24"/>
                              </w:rPr>
                            </w:pPr>
                            <w:r w:rsidRPr="009672E9">
                              <w:rPr>
                                <w:rFonts w:ascii="Tw Cen MT" w:eastAsia="Tw Cen MT" w:hAnsi="Tw Cen MT" w:cs="Tw Cen MT"/>
                                <w:sz w:val="24"/>
                                <w:szCs w:val="24"/>
                              </w:rPr>
                              <w:t xml:space="preserve">Présenter le   04/06/2026, devant le jury composé de : </w:t>
                            </w:r>
                            <w:r w:rsidRPr="009672E9">
                              <w:rPr>
                                <w:rFonts w:ascii="Tw Cen MT" w:eastAsia="Tw Cen MT" w:hAnsi="Tw Cen MT" w:cs="Tw Cen MT"/>
                                <w:noProof/>
                                <w:sz w:val="24"/>
                                <w:szCs w:val="24"/>
                              </w:rPr>
                              <w:drawing>
                                <wp:inline distT="0" distB="0" distL="0" distR="0" wp14:anchorId="247F6871" wp14:editId="4135CC7F">
                                  <wp:extent cx="2468880" cy="175260"/>
                                  <wp:effectExtent l="0" t="0" r="0" b="0"/>
                                  <wp:docPr id="187607126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8880" cy="175260"/>
                                          </a:xfrm>
                                          <a:prstGeom prst="rect">
                                            <a:avLst/>
                                          </a:prstGeom>
                                          <a:noFill/>
                                          <a:ln>
                                            <a:noFill/>
                                          </a:ln>
                                        </pic:spPr>
                                      </pic:pic>
                                    </a:graphicData>
                                  </a:graphic>
                                </wp:inline>
                              </w:drawing>
                            </w:r>
                          </w:p>
                          <w:p w14:paraId="3733E316" w14:textId="376E7B5D" w:rsidR="00502BB2" w:rsidRDefault="0069123E">
                            <w:pPr>
                              <w:rPr>
                                <w:sz w:val="24"/>
                                <w:szCs w:val="24"/>
                              </w:rPr>
                            </w:pPr>
                            <w:r>
                              <w:rPr>
                                <w:rFonts w:ascii="Tw Cen MT" w:eastAsia="Tw Cen MT" w:hAnsi="Tw Cen MT" w:cs="Tw Cen MT"/>
                                <w:sz w:val="24"/>
                                <w:szCs w:val="24"/>
                              </w:rPr>
                              <w:t xml:space="preserve">: </w:t>
                            </w:r>
                            <w:r>
                              <w:rPr>
                                <w:rFonts w:ascii="Tw Cen MT" w:eastAsia="Tw Cen MT" w:hAnsi="Tw Cen MT" w:cs="Tw Cen MT"/>
                                <w:noProof/>
                                <w:sz w:val="24"/>
                                <w:szCs w:val="24"/>
                              </w:rPr>
                              <w:drawing>
                                <wp:inline distT="0" distB="0" distL="0" distR="0" wp14:anchorId="098EF589" wp14:editId="4C6E3B58">
                                  <wp:extent cx="2470785" cy="173990"/>
                                  <wp:effectExtent l="0" t="0" r="0" b="0"/>
                                  <wp:docPr id="6499532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53266"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470785" cy="173990"/>
                                          </a:xfrm>
                                          <a:prstGeom prst="rect">
                                            <a:avLst/>
                                          </a:prstGeom>
                                          <a:noFill/>
                                          <a:ln>
                                            <a:noFill/>
                                          </a:ln>
                                        </pic:spPr>
                                      </pic:pic>
                                    </a:graphicData>
                                  </a:graphic>
                                </wp:inline>
                              </w:drawing>
                            </w:r>
                          </w:p>
                        </w:txbxContent>
                      </wps:txbx>
                      <wps:bodyPr horzOverflow="overflow" vert="horz" wrap="square" lIns="0" tIns="0" rIns="0" bIns="0" rtlCol="0">
                        <a:noAutofit/>
                      </wps:bodyPr>
                    </wps:wsp>
                  </a:graphicData>
                </a:graphic>
              </wp:anchor>
            </w:drawing>
          </mc:Choice>
          <mc:Fallback>
            <w:pict>
              <v:rect w14:anchorId="49988802" id="_x0000_s1032" style="position:absolute;margin-left:105.7pt;margin-top:444.25pt;width:255.45pt;height:15.4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ihFogEAADsDAAAOAAAAZHJzL2Uyb0RvYy54bWysUttuGyEQfa+Uf0C8x/iSRs3KOKoaJapU&#10;NZGSfgBmwYvEMmTA3nW/vgO+Ve1b1ZfZwwx75sxwlvdj79nOYHIQJJ9NppyZoKF1YSP5j7fH60+c&#10;paxCqzwEI/neJH6/uvqwHGJj5tCBbw0yIgmpGaLkXc6xESLpzvQqTSCaQEUL2KtMR9yIFtVA7L0X&#10;8+n0VgyAbUTQJiXKPhyKfFX5rTU6P1ubTGZectKWa8Qa1yWK1VI1G1Sxc/ooQ/2Dil65QE3PVA8q&#10;K7ZF9xdV7zRCApsnGnoB1jpt6gw0zWz6xzSvnYqmzkLLSfG8pvT/aPX33Wt8QVrDEFOTCJYpRot9&#10;+ZI+NtZl7c/LMmNmmpKL+c3i7mbBmaba7O5jwUQjLn9HTPnJQM8KkBzpMeqO1O5byoerpyulmQ8l&#10;Bnh03h+qJSMuugrK43pkrpX8tjQrmTW0+xdkHeDPZzKi9TBIDkfEizepd6lyNtA7S57etwoNZ/5r&#10;oEUWU5wAnsD6BDD7L1Ctc9D2eZvBuir+0vsokl6ojn90U7HA7+d66+L51S8AAAD//wMAUEsDBBQA&#10;BgAIAAAAIQDCSgX04gAAAAsBAAAPAAAAZHJzL2Rvd25yZXYueG1sTI/LTsMwEEX3SPyDNUjsqJNQ&#10;wAmZVBUPlSW0lVp2bjwkEX5EsdsEvh6zguXoHt17plxMRrMTDb5zFiGdJcDI1k51tkHYbp6vBDAf&#10;pFVSO0sIX+RhUZ2flbJQbrRvdFqHhsUS6wuJ0IbQF5z7uiUj/cz1ZGP24QYjQzyHhqtBjrHcaJ4l&#10;yS03srNxoZU9PbRUf66PBmEl+uX+xX2PjX56X+1ed/njJg+IlxfT8h5YoCn8wfCrH9Whik4Hd7TK&#10;M42Qpek8oghCiBtgkbjLsmtgB4Q8zefAq5L//6H6AQAA//8DAFBLAQItABQABgAIAAAAIQC2gziS&#10;/gAAAOEBAAATAAAAAAAAAAAAAAAAAAAAAABbQ29udGVudF9UeXBlc10ueG1sUEsBAi0AFAAGAAgA&#10;AAAhADj9If/WAAAAlAEAAAsAAAAAAAAAAAAAAAAALwEAAF9yZWxzLy5yZWxzUEsBAi0AFAAGAAgA&#10;AAAhAAGaKEWiAQAAOwMAAA4AAAAAAAAAAAAAAAAALgIAAGRycy9lMm9Eb2MueG1sUEsBAi0AFAAG&#10;AAgAAAAhAMJKBfTiAAAACwEAAA8AAAAAAAAAAAAAAAAA/AMAAGRycy9kb3ducmV2LnhtbFBLBQYA&#10;AAAABAAEAPMAAAALBQAAAAA=&#10;" filled="f" stroked="f">
                <v:textbox inset="0,0,0,0">
                  <w:txbxContent>
                    <w:p w14:paraId="46D67FBB" w14:textId="47F30099" w:rsidR="009672E9" w:rsidRPr="009672E9" w:rsidRDefault="009672E9" w:rsidP="009672E9">
                      <w:pPr>
                        <w:rPr>
                          <w:rFonts w:ascii="Tw Cen MT" w:eastAsia="Tw Cen MT" w:hAnsi="Tw Cen MT" w:cs="Tw Cen MT"/>
                          <w:sz w:val="24"/>
                          <w:szCs w:val="24"/>
                        </w:rPr>
                      </w:pPr>
                      <w:r w:rsidRPr="009672E9">
                        <w:rPr>
                          <w:rFonts w:ascii="Tw Cen MT" w:eastAsia="Tw Cen MT" w:hAnsi="Tw Cen MT" w:cs="Tw Cen MT"/>
                          <w:sz w:val="24"/>
                          <w:szCs w:val="24"/>
                        </w:rPr>
                        <w:t xml:space="preserve">Présenter le   04/06/2026, devant le jury composé de : </w:t>
                      </w:r>
                      <w:r w:rsidRPr="009672E9">
                        <w:rPr>
                          <w:rFonts w:ascii="Tw Cen MT" w:eastAsia="Tw Cen MT" w:hAnsi="Tw Cen MT" w:cs="Tw Cen MT"/>
                          <w:noProof/>
                          <w:sz w:val="24"/>
                          <w:szCs w:val="24"/>
                        </w:rPr>
                        <w:drawing>
                          <wp:inline distT="0" distB="0" distL="0" distR="0" wp14:anchorId="247F6871" wp14:editId="4135CC7F">
                            <wp:extent cx="2468880" cy="175260"/>
                            <wp:effectExtent l="0" t="0" r="0" b="0"/>
                            <wp:docPr id="187607126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8880" cy="175260"/>
                                    </a:xfrm>
                                    <a:prstGeom prst="rect">
                                      <a:avLst/>
                                    </a:prstGeom>
                                    <a:noFill/>
                                    <a:ln>
                                      <a:noFill/>
                                    </a:ln>
                                  </pic:spPr>
                                </pic:pic>
                              </a:graphicData>
                            </a:graphic>
                          </wp:inline>
                        </w:drawing>
                      </w:r>
                    </w:p>
                    <w:p w14:paraId="3733E316" w14:textId="376E7B5D" w:rsidR="00502BB2" w:rsidRDefault="0069123E">
                      <w:pPr>
                        <w:rPr>
                          <w:sz w:val="24"/>
                          <w:szCs w:val="24"/>
                        </w:rPr>
                      </w:pPr>
                      <w:r>
                        <w:rPr>
                          <w:rFonts w:ascii="Tw Cen MT" w:eastAsia="Tw Cen MT" w:hAnsi="Tw Cen MT" w:cs="Tw Cen MT"/>
                          <w:sz w:val="24"/>
                          <w:szCs w:val="24"/>
                        </w:rPr>
                        <w:t xml:space="preserve">: </w:t>
                      </w:r>
                      <w:r>
                        <w:rPr>
                          <w:rFonts w:ascii="Tw Cen MT" w:eastAsia="Tw Cen MT" w:hAnsi="Tw Cen MT" w:cs="Tw Cen MT"/>
                          <w:noProof/>
                          <w:sz w:val="24"/>
                          <w:szCs w:val="24"/>
                        </w:rPr>
                        <w:drawing>
                          <wp:inline distT="0" distB="0" distL="0" distR="0" wp14:anchorId="098EF589" wp14:editId="4C6E3B58">
                            <wp:extent cx="2470785" cy="173990"/>
                            <wp:effectExtent l="0" t="0" r="0" b="0"/>
                            <wp:docPr id="64995326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53266" name="Picture 2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470785" cy="173990"/>
                                    </a:xfrm>
                                    <a:prstGeom prst="rect">
                                      <a:avLst/>
                                    </a:prstGeom>
                                    <a:noFill/>
                                    <a:ln>
                                      <a:noFill/>
                                    </a:ln>
                                  </pic:spPr>
                                </pic:pic>
                              </a:graphicData>
                            </a:graphic>
                          </wp:inline>
                        </w:drawing>
                      </w:r>
                    </w:p>
                  </w:txbxContent>
                </v:textbox>
              </v:rect>
            </w:pict>
          </mc:Fallback>
        </mc:AlternateContent>
      </w:r>
      <w:r>
        <w:rPr>
          <w:noProof/>
        </w:rPr>
        <mc:AlternateContent>
          <mc:Choice Requires="wps">
            <w:drawing>
              <wp:anchor distT="0" distB="0" distL="114300" distR="114300" simplePos="0" relativeHeight="251679744" behindDoc="0" locked="0" layoutInCell="1" allowOverlap="1" wp14:anchorId="3E36F3AD" wp14:editId="5D2F1C5F">
                <wp:simplePos x="0" y="0"/>
                <wp:positionH relativeFrom="margin">
                  <wp:align>right</wp:align>
                </wp:positionH>
                <wp:positionV relativeFrom="paragraph">
                  <wp:posOffset>4912995</wp:posOffset>
                </wp:positionV>
                <wp:extent cx="5834380" cy="413385"/>
                <wp:effectExtent l="0" t="0" r="0" b="5715"/>
                <wp:wrapNone/>
                <wp:docPr id="1606316146" name="Text Box 19"/>
                <wp:cNvGraphicFramePr/>
                <a:graphic xmlns:a="http://schemas.openxmlformats.org/drawingml/2006/main">
                  <a:graphicData uri="http://schemas.microsoft.com/office/word/2010/wordprocessingShape">
                    <wps:wsp>
                      <wps:cNvSpPr txBox="1"/>
                      <wps:spPr>
                        <a:xfrm>
                          <a:off x="0" y="0"/>
                          <a:ext cx="5834471" cy="413658"/>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7DF746E" w14:textId="77777777" w:rsidR="00502BB2" w:rsidRDefault="0069123E">
                            <w:pPr>
                              <w:rPr>
                                <w:rFonts w:asciiTheme="majorBidi" w:hAnsiTheme="majorBidi" w:cstheme="majorBidi"/>
                                <w:sz w:val="24"/>
                                <w:szCs w:val="24"/>
                              </w:rPr>
                            </w:pPr>
                            <w:r>
                              <w:rPr>
                                <w:rFonts w:asciiTheme="majorBidi" w:hAnsiTheme="majorBidi" w:cstheme="majorBidi"/>
                                <w:b/>
                                <w:bCs/>
                                <w:sz w:val="24"/>
                                <w:szCs w:val="24"/>
                              </w:rPr>
                              <w:t>Étude intégrative des dysfonctionnements métaboliques prédictifs du coma diabétique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3E36F3AD" id="_x0000_t202" coordsize="21600,21600" o:spt="202" path="m,l,21600r21600,l21600,xe">
                <v:stroke joinstyle="miter"/>
                <v:path gradientshapeok="t" o:connecttype="rect"/>
              </v:shapetype>
              <v:shape id="Text Box 19" o:spid="_x0000_s1033" type="#_x0000_t202" style="position:absolute;margin-left:408.2pt;margin-top:386.85pt;width:459.4pt;height:32.55pt;z-index:25167974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5prUQIAAPwEAAAOAAAAZHJzL2Uyb0RvYy54bWysVEuP2jAQvlfqf7B8LwEWFooIK8qKqhLq&#10;rkqrno1jk6i2x7UNCf31HTsE6OOyVS/2eN7zzYznD41W5Cicr8DkdNDrUyIMh6Iy+5x++bx+M6XE&#10;B2YKpsCInJ6Epw+L16/mtZ2JIZSgCuEIOjF+VtucliHYWZZ5XgrNfA+sMCiU4DQL+HT7rHCsRu9a&#10;ZcN+/z6rwRXWARfeI/exFdJF8i+l4OFJSi8CUTnF3EI6XTp38cwWczbbO2bLip/TYP+QhWaVwaAX&#10;V48sMHJw1R+udMUdeJChx0FnIGXFRaoBqxn0f6tmWzIrUi0IjrcXmPz/c8s/Hrf22ZHQvIMGGxgB&#10;qa2feWTGehrpdLwxU4JyhPB0gU00gXBkjqd3o9FkQAlH2Whwdz+eRjfZ1do6H94L0CQSOXXYloQW&#10;O258aFU7lRjMwLpSKrVGmV8Y6DNysmuKiQonJaKeMp+EJFWRMo0Mz91+t1KOtC3HmcQKusYnZ2gQ&#10;FSUGfKHt2SRaizRpL7S/GKX4YMLFXlcGXAIo7YGIBRwZTnDxLTUIE5etfgdFC0DEIjS7BhHI6aRr&#10;5Q6KE3bYQTv83vJ1hW3YMB+emcNpR0hwg8MTHlJBnVM4U5SU4H78jR/1cQhRSkmN25NT//3AnKBE&#10;fTA4nm8Ho1Fct/QYjSdDfLhbye5WYg56BVgejhBml8ioH1RHSgf6Ky76MkZFETMcY+c0dOQqtA3G&#10;j4KL5TIp4YJZFjZma3l0HVE2sDwEkFWauYhWi80ZRVyxNLXn7yDu8O07aV0/rcVPAAAA//8DAFBL&#10;AwQUAAYACAAAACEAyKK+SNwAAAAIAQAADwAAAGRycy9kb3ducmV2LnhtbEyPTU/DMAyG70j8h8hI&#10;3FgyBrQrdScE4gpifEjcssZrKxqnarK1/HvMCW62Xuv185Sb2ffqSGPsAiMsFwYUcR1cxw3C2+vj&#10;RQ4qJsvO9oEJ4ZsibKrTk9IWLkz8QsdtapSUcCwsQpvSUGgd65a8jYswEEu2D6O3Sdax0W60k5T7&#10;Xl8ac6O97Vg+tHag+5bqr+3BI7w/7T8/rsxz8+CvhynMRrNfa8Tzs/nuFlSiOf0dwy++oEMlTLtw&#10;YBdVjyAiCSHLVhkoidfLXEx2CPlKBl2V+r9A9QMAAP//AwBQSwECLQAUAAYACAAAACEAtoM4kv4A&#10;AADhAQAAEwAAAAAAAAAAAAAAAAAAAAAAW0NvbnRlbnRfVHlwZXNdLnhtbFBLAQItABQABgAIAAAA&#10;IQA4/SH/1gAAAJQBAAALAAAAAAAAAAAAAAAAAC8BAABfcmVscy8ucmVsc1BLAQItABQABgAIAAAA&#10;IQCWF5prUQIAAPwEAAAOAAAAAAAAAAAAAAAAAC4CAABkcnMvZTJvRG9jLnhtbFBLAQItABQABgAI&#10;AAAAIQDIor5I3AAAAAgBAAAPAAAAAAAAAAAAAAAAAKsEAABkcnMvZG93bnJldi54bWxQSwUGAAAA&#10;AAQABADzAAAAtAUAAAAA&#10;" filled="f" stroked="f">
                <v:textbox>
                  <w:txbxContent>
                    <w:p w14:paraId="57DF746E" w14:textId="77777777" w:rsidR="00502BB2" w:rsidRDefault="0069123E">
                      <w:pPr>
                        <w:rPr>
                          <w:rFonts w:asciiTheme="majorBidi" w:hAnsiTheme="majorBidi" w:cstheme="majorBidi"/>
                          <w:sz w:val="24"/>
                          <w:szCs w:val="24"/>
                        </w:rPr>
                      </w:pPr>
                      <w:r>
                        <w:rPr>
                          <w:rFonts w:asciiTheme="majorBidi" w:hAnsiTheme="majorBidi" w:cstheme="majorBidi"/>
                          <w:b/>
                          <w:bCs/>
                          <w:sz w:val="24"/>
                          <w:szCs w:val="24"/>
                        </w:rPr>
                        <w:t>Étude intégrative des dysfonctionnements métaboliques prédictifs du coma diabétique </w:t>
                      </w:r>
                    </w:p>
                  </w:txbxContent>
                </v:textbox>
                <w10:wrap anchorx="margin"/>
              </v:shape>
            </w:pict>
          </mc:Fallback>
        </mc:AlternateContent>
      </w:r>
      <w:r>
        <w:rPr>
          <w:noProof/>
        </w:rPr>
        <mc:AlternateContent>
          <mc:Choice Requires="wps">
            <w:drawing>
              <wp:anchor distT="0" distB="0" distL="114300" distR="114300" simplePos="0" relativeHeight="251678720" behindDoc="0" locked="0" layoutInCell="1" allowOverlap="1" wp14:anchorId="73605142" wp14:editId="511A4EA1">
                <wp:simplePos x="0" y="0"/>
                <wp:positionH relativeFrom="margin">
                  <wp:align>right</wp:align>
                </wp:positionH>
                <wp:positionV relativeFrom="paragraph">
                  <wp:posOffset>4789170</wp:posOffset>
                </wp:positionV>
                <wp:extent cx="5889625" cy="632460"/>
                <wp:effectExtent l="0" t="0" r="15875" b="15875"/>
                <wp:wrapNone/>
                <wp:docPr id="155" name="Shape 155"/>
                <wp:cNvGraphicFramePr/>
                <a:graphic xmlns:a="http://schemas.openxmlformats.org/drawingml/2006/main">
                  <a:graphicData uri="http://schemas.microsoft.com/office/word/2010/wordprocessingShape">
                    <wps:wsp>
                      <wps:cNvSpPr/>
                      <wps:spPr>
                        <a:xfrm>
                          <a:off x="0" y="0"/>
                          <a:ext cx="5889940" cy="632424"/>
                        </a:xfrm>
                        <a:custGeom>
                          <a:avLst/>
                          <a:gdLst/>
                          <a:ahLst/>
                          <a:cxnLst/>
                          <a:rect l="0" t="0" r="0" b="0"/>
                          <a:pathLst>
                            <a:path w="5890260" h="632460">
                              <a:moveTo>
                                <a:pt x="0" y="632460"/>
                              </a:moveTo>
                              <a:lnTo>
                                <a:pt x="5890260" y="632460"/>
                              </a:lnTo>
                              <a:lnTo>
                                <a:pt x="5890260" y="0"/>
                              </a:lnTo>
                              <a:lnTo>
                                <a:pt x="0" y="0"/>
                              </a:lnTo>
                              <a:close/>
                            </a:path>
                          </a:pathLst>
                        </a:custGeom>
                        <a:ln w="19050" cap="flat">
                          <a:miter lim="127000"/>
                        </a:ln>
                      </wps:spPr>
                      <wps:style>
                        <a:lnRef idx="1">
                          <a:srgbClr val="A6A6A6"/>
                        </a:lnRef>
                        <a:fillRef idx="0">
                          <a:srgbClr val="000000">
                            <a:alpha val="0"/>
                          </a:srgbClr>
                        </a:fillRef>
                        <a:effectRef idx="0">
                          <a:scrgbClr r="0" g="0" b="0"/>
                        </a:effectRef>
                        <a:fontRef idx="none"/>
                      </wps:style>
                      <wps:bodyPr/>
                    </wps:wsp>
                  </a:graphicData>
                </a:graphic>
              </wp:anchor>
            </w:drawing>
          </mc:Choice>
          <mc:Fallback xmlns:wpsCustomData="http://www.wps.cn/officeDocument/2013/wpsCustomData">
            <w:pict>
              <v:shape id="Shape 155" o:spid="_x0000_s1026" o:spt="100" style="position:absolute;left:0pt;margin-top:377.1pt;height:49.8pt;width:463.75pt;mso-position-horizontal:right;mso-position-horizontal-relative:margin;z-index:251678720;mso-width-relative:page;mso-height-relative:page;" filled="f" stroked="t" coordsize="5890260,632460" o:gfxdata="UEsDBAoAAAAAAIdO4kAAAAAAAAAAAAAAAAAEAAAAZHJzL1BLAwQUAAAACACHTuJA/+I9ItkAAAAI&#10;AQAADwAAAGRycy9kb3ducmV2LnhtbE2PzU7DMBCE70i8g7VI3KjTlFATsumBnwtCChSkits2NklE&#10;vI5ip23eHnOC42hGM98Um5PtxcGMvnOMsFwkIAzXTnfcIHy8P10pED4Qa+odG4TZeNiU52cF5dod&#10;+c0ctqERsYR9TghtCEMupa9bY8kv3GA4el9utBSiHBupRzrGctvLNElupKWO40JLg7lvTf29nSxC&#10;s3vgXfX5qnT1zPQ4T6pazS+IlxfL5A5EMKfwF4Zf/IgOZWTau4m1Fz1CPBIQ1tl1CiLat+k6A7FH&#10;UNlKgSwL+f9A+QNQSwMEFAAAAAgAh07iQA2vKVgrAgAA2AQAAA4AAABkcnMvZTJvRG9jLnhtbK1U&#10;24rbMBR8L/QfhN4bO26SJiHJUhq2L6Vd2O0HKLJsC3RDR4mTv++RfMtuoexDMVhH0mg8M5K8e7hq&#10;RS7Cg7RmT+eznBJhuC2lqff098vjpzUlEJgpmbJG7OlNAH04fPywa91WFLaxqhSeIImBbev2tAnB&#10;bbMMeCM0g5l1wuBkZb1mAbu+zkrPWmTXKivyfJW11pfOWy4AcPTYTdKe0b+H0FaV5OJo+VkLEzpW&#10;LxQLaAka6YAektqqEjz8qioQgag9RachvfEjWJ/iOzvs2Lb2zDWS9xLYeyS88aSZNPjRkerIAiNn&#10;L/+i0pJ7C7YKM2511hlJiaCLef4mm+eGOZG8YNTgxtDh/9Hyn5cnT2SJJ2G5pMQwjVuevkviAMbT&#10;Otgi6tk9+b4HWEav18rr2KILck2R3sZIxTUQjoPL9XqzWWDaHOdWn4tFsYik2bSanyF8FzYxscsP&#10;CN2WlEPFmqHiVzOUHjf2n1vqWIjrorxYkjZK2eTFCqU0nRIs47S2F/FiEzBMNqJUBHRSJ4gy99CR&#10;sfc2LhhgQ+sS8z18oB4QQ9shUeQQJSY1zHFlQXSKoqeU4ugTcfdJGvsolUpRKhPdzzf5Mm4Dwytb&#10;4VXBUjvcdjA1JUzV+C/gwadEwCpZxuUxFPD16Zvy5MLwBn1dxadP5RXMeQhHBk2HS1MRhvHKgL8L&#10;JTVKKL7k+WQc9cez1Z2mWJ1seUuHLI3jgU8O+8sZb9R9P62efkiH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P/iPSLZAAAACAEAAA8AAAAAAAAAAQAgAAAAIgAAAGRycy9kb3ducmV2LnhtbFBLAQIU&#10;ABQAAAAIAIdO4kANrylYKwIAANgEAAAOAAAAAAAAAAEAIAAAACgBAABkcnMvZTJvRG9jLnhtbFBL&#10;BQYAAAAABgAGAFkBAADFBQAAAAA=&#10;" path="m0,632460l5890260,632460,5890260,0,0,0xe">
                <v:fill on="f" focussize="0,0"/>
                <v:stroke weight="1.5pt" color="#A6A6A6" miterlimit="1" joinstyle="miter"/>
                <v:imagedata o:title=""/>
                <o:lock v:ext="edit" aspectratio="f"/>
              </v:shape>
            </w:pict>
          </mc:Fallback>
        </mc:AlternateContent>
      </w:r>
      <w:r>
        <w:rPr>
          <w:noProof/>
        </w:rPr>
        <mc:AlternateContent>
          <mc:Choice Requires="wps">
            <w:drawing>
              <wp:anchor distT="0" distB="0" distL="114300" distR="114300" simplePos="0" relativeHeight="251677696" behindDoc="0" locked="0" layoutInCell="1" allowOverlap="1" wp14:anchorId="794767DA" wp14:editId="43680F94">
                <wp:simplePos x="0" y="0"/>
                <wp:positionH relativeFrom="margin">
                  <wp:align>center</wp:align>
                </wp:positionH>
                <wp:positionV relativeFrom="paragraph">
                  <wp:posOffset>4516755</wp:posOffset>
                </wp:positionV>
                <wp:extent cx="814070" cy="215900"/>
                <wp:effectExtent l="0" t="0" r="0" b="0"/>
                <wp:wrapNone/>
                <wp:docPr id="92" name="Rectangle 1"/>
                <wp:cNvGraphicFramePr/>
                <a:graphic xmlns:a="http://schemas.openxmlformats.org/drawingml/2006/main">
                  <a:graphicData uri="http://schemas.microsoft.com/office/word/2010/wordprocessingShape">
                    <wps:wsp>
                      <wps:cNvSpPr/>
                      <wps:spPr>
                        <a:xfrm>
                          <a:off x="0" y="0"/>
                          <a:ext cx="813853" cy="215716"/>
                        </a:xfrm>
                        <a:prstGeom prst="rect">
                          <a:avLst/>
                        </a:prstGeom>
                        <a:ln>
                          <a:noFill/>
                        </a:ln>
                      </wps:spPr>
                      <wps:txbx>
                        <w:txbxContent>
                          <w:p w14:paraId="551121EA" w14:textId="77777777" w:rsidR="00502BB2" w:rsidRDefault="0069123E">
                            <w:r>
                              <w:rPr>
                                <w:rFonts w:ascii="Times New Roman" w:eastAsia="Times New Roman" w:hAnsi="Times New Roman" w:cs="Times New Roman"/>
                                <w:sz w:val="28"/>
                              </w:rPr>
                              <w:t>THEME</w:t>
                            </w:r>
                          </w:p>
                        </w:txbxContent>
                      </wps:txbx>
                      <wps:bodyPr horzOverflow="overflow" vert="horz" lIns="0" tIns="0" rIns="0" bIns="0" rtlCol="0">
                        <a:noAutofit/>
                      </wps:bodyPr>
                    </wps:wsp>
                  </a:graphicData>
                </a:graphic>
              </wp:anchor>
            </w:drawing>
          </mc:Choice>
          <mc:Fallback>
            <w:pict>
              <v:rect w14:anchorId="794767DA" id="_x0000_s1034" style="position:absolute;margin-left:0;margin-top:355.65pt;width:64.1pt;height:17pt;z-index:25167769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1JRmAEAACwDAAAOAAAAZHJzL2Uyb0RvYy54bWysUttu2zAMfR+wfxD0vihO0S4w4hTDihYF&#10;hrVA2w9QZCkWIIkCpcbOvn6Uchu6t2Ev9BFJk4eHXN1O3rGdxmQhdLyZzTnTQUFvw7bjb6/3X5ac&#10;pSxDLx0E3fG9Tvx2/fnTaoytXsAArtfIqEhI7Rg7PuQcWyGSGrSXaQZRBwoaQC8zPXErepQjVfdO&#10;LObzGzEC9hFB6ZTIe3cI8nWtb4xW+cmYpDNzHSduuVqsdlOsWK9ku0UZB6uONOQ/sPDSBmp6LnUn&#10;s2TvaP8q5a1CSGDyTIEXYIxVus5A0zTzD9O8DDLqOguJk+JZpvT/yqqfu5f4jCTDGFObCJYpJoO+&#10;fIkfm6pY+7NYespMkXPZXC2vrzhTFFo011+bmyKmuPwcMeUHDZ4V0HGkXVSJ5O5HyofUU0rp5UKx&#10;Ae6tc4do8YgLrYLytJmY7al7aVY8G+j3z8gGwF9PdIfGwdhxOCJeTpN6lyhn7jGQcuUKTgBPYHMC&#10;mN13qLdyYPPtPYOxle6l25EWraQOfDyfsvM/3zXrcuTr3wAAAP//AwBQSwMEFAAGAAgAAAAhAKp6&#10;OxLgAAAACAEAAA8AAABkcnMvZG93bnJldi54bWxMj0FPwkAQhe8m/IfNkHiTbYtKqd0Sgho4KpCg&#10;t6U7tg27s013odVf73LS45s3ee97+WIwml2wc40lAfEkAoZUWtVQJWC/e71LgTkvSUltCQV8o4NF&#10;MbrJZaZsT+942fqKhRBymRRQe99mnLuyRiPdxLZIwfuynZE+yK7iqpN9CDeaJ1H0yI1sKDTUssVV&#10;jeVpezYC1mm7/NjYn77SL5/rw9th/rybeyFux8PyCZjHwf89wxU/oEMRmI72TMoxLSAM8QJmcTwF&#10;drWTNAF2DJf7hynwIuf/BxS/AAAA//8DAFBLAQItABQABgAIAAAAIQC2gziS/gAAAOEBAAATAAAA&#10;AAAAAAAAAAAAAAAAAABbQ29udGVudF9UeXBlc10ueG1sUEsBAi0AFAAGAAgAAAAhADj9If/WAAAA&#10;lAEAAAsAAAAAAAAAAAAAAAAALwEAAF9yZWxzLy5yZWxzUEsBAi0AFAAGAAgAAAAhADbjUlGYAQAA&#10;LAMAAA4AAAAAAAAAAAAAAAAALgIAAGRycy9lMm9Eb2MueG1sUEsBAi0AFAAGAAgAAAAhAKp6OxLg&#10;AAAACAEAAA8AAAAAAAAAAAAAAAAA8gMAAGRycy9kb3ducmV2LnhtbFBLBQYAAAAABAAEAPMAAAD/&#10;BAAAAAA=&#10;" filled="f" stroked="f">
                <v:textbox inset="0,0,0,0">
                  <w:txbxContent>
                    <w:p w14:paraId="551121EA" w14:textId="77777777" w:rsidR="00502BB2" w:rsidRDefault="0069123E">
                      <w:r>
                        <w:rPr>
                          <w:rFonts w:ascii="Times New Roman" w:eastAsia="Times New Roman" w:hAnsi="Times New Roman" w:cs="Times New Roman"/>
                          <w:sz w:val="28"/>
                        </w:rPr>
                        <w:t>THEME</w:t>
                      </w:r>
                    </w:p>
                  </w:txbxContent>
                </v:textbox>
                <w10:wrap anchorx="margin"/>
              </v:rect>
            </w:pict>
          </mc:Fallback>
        </mc:AlternateContent>
      </w:r>
      <w:r>
        <w:rPr>
          <w:noProof/>
        </w:rPr>
        <mc:AlternateContent>
          <mc:Choice Requires="wps">
            <w:drawing>
              <wp:anchor distT="0" distB="0" distL="114300" distR="114300" simplePos="0" relativeHeight="251676672" behindDoc="0" locked="0" layoutInCell="1" allowOverlap="1" wp14:anchorId="0A2A8480" wp14:editId="1C29CCE9">
                <wp:simplePos x="0" y="0"/>
                <wp:positionH relativeFrom="margin">
                  <wp:align>right</wp:align>
                </wp:positionH>
                <wp:positionV relativeFrom="paragraph">
                  <wp:posOffset>3846195</wp:posOffset>
                </wp:positionV>
                <wp:extent cx="5845175" cy="565785"/>
                <wp:effectExtent l="0" t="0" r="0" b="0"/>
                <wp:wrapNone/>
                <wp:docPr id="79" name="Rectangle 1"/>
                <wp:cNvGraphicFramePr/>
                <a:graphic xmlns:a="http://schemas.openxmlformats.org/drawingml/2006/main">
                  <a:graphicData uri="http://schemas.microsoft.com/office/word/2010/wordprocessingShape">
                    <wps:wsp>
                      <wps:cNvSpPr/>
                      <wps:spPr>
                        <a:xfrm>
                          <a:off x="0" y="0"/>
                          <a:ext cx="5845357" cy="566057"/>
                        </a:xfrm>
                        <a:prstGeom prst="rect">
                          <a:avLst/>
                        </a:prstGeom>
                        <a:ln>
                          <a:noFill/>
                        </a:ln>
                      </wps:spPr>
                      <wps:txbx>
                        <w:txbxContent>
                          <w:p w14:paraId="2B37926E" w14:textId="77777777" w:rsidR="00502BB2" w:rsidRDefault="0069123E">
                            <w:pPr>
                              <w:jc w:val="center"/>
                            </w:pPr>
                            <w:r>
                              <w:rPr>
                                <w:rFonts w:ascii="Times New Roman" w:eastAsia="Times New Roman" w:hAnsi="Times New Roman" w:cs="Times New Roman"/>
                                <w:sz w:val="28"/>
                              </w:rPr>
                              <w:t>En vue de l’obtention du Diplôme de Master académique En Sciences Biologiques ; Option : Biologie Moléculaire et Cellulaire</w:t>
                            </w:r>
                          </w:p>
                        </w:txbxContent>
                      </wps:txbx>
                      <wps:bodyPr horzOverflow="overflow" vert="horz" wrap="square" lIns="0" tIns="0" rIns="0" bIns="0" rtlCol="0">
                        <a:noAutofit/>
                      </wps:bodyPr>
                    </wps:wsp>
                  </a:graphicData>
                </a:graphic>
              </wp:anchor>
            </w:drawing>
          </mc:Choice>
          <mc:Fallback>
            <w:pict>
              <v:rect w14:anchorId="0A2A8480" id="_x0000_s1035" style="position:absolute;margin-left:409.05pt;margin-top:302.85pt;width:460.25pt;height:44.55pt;z-index:251676672;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VaTowEAADsDAAAOAAAAZHJzL2Uyb0RvYy54bWysUttuEzEQfUfiHyy/k90WEtpVnApRFSEh&#10;WqnlAxyvnbVke8zYyW74esbODcFbxcvs8Yz3zJnxWd5N3rGdxmQhCH41aznTQUFvw0bwHy8P7244&#10;S1mGXjoIWvC9Tvxu9fbNcoydvoYBXK+REUlI3RgFH3KOXdMkNWgv0wyiDlQ0gF5mOuKm6VGOxO5d&#10;c922i2YE7COC0ilR9v5Q5KvKb4xW+dGYpDNzgpO2XCPWuC6xWS1lt0EZB6uOMuQrVHhpAzU9U93L&#10;LNkW7T9U3iqEBCbPFPgGjLFK1xlomqv2r2meBxl1nYWWk+J5Ten/0arvu+f4hLSGMaYuESxTTAZ9&#10;+ZI+NtVl7c/L0lNmipLzmw/z9/OPnCmqzReLljDRNJe/I6b8RYNnBQiO9Bh1R3L3LeXD1dOV0syF&#10;EgM8WOcO1ZJpLroKytN6YrYX/LY0K5k19PsnZAPgr0cyonEwCg5HxIs3qXepcjbSOwuefm4las7c&#10;10CLLKY4ATyB9Qlgdp+hWueg7dM2g7FV/KX3USS9UB3/6KZigT/P9dbF86vfAAAA//8DAFBLAwQU&#10;AAYACAAAACEAMHKWa+AAAAAIAQAADwAAAGRycy9kb3ducmV2LnhtbEyPzU7DMBCE70i8g7VI3KhD&#10;RUsS4lQVPyrH0iK1vbnxkkTY6yh2m8DTs5zgODurmW+KxeisOGMfWk8KbicJCKTKm5ZqBe/bl5sU&#10;RIiajLaeUMEXBliUlxeFzo0f6A3Pm1gLDqGQawVNjF0uZagadDpMfIfE3ofvnY4s+1qaXg8c7qyc&#10;JslcOt0SNzS6w8cGq8/NySlYpd1y/+q/h9o+H1a79S572mZRqeurcfkAIuIY/57hF5/RoWSmoz+R&#10;CcIq4CFRwTyZ3YNgO5smMxBHvmR3KciykP8HlD8AAAD//wMAUEsBAi0AFAAGAAgAAAAhALaDOJL+&#10;AAAA4QEAABMAAAAAAAAAAAAAAAAAAAAAAFtDb250ZW50X1R5cGVzXS54bWxQSwECLQAUAAYACAAA&#10;ACEAOP0h/9YAAACUAQAACwAAAAAAAAAAAAAAAAAvAQAAX3JlbHMvLnJlbHNQSwECLQAUAAYACAAA&#10;ACEAzrFWk6MBAAA7AwAADgAAAAAAAAAAAAAAAAAuAgAAZHJzL2Uyb0RvYy54bWxQSwECLQAUAAYA&#10;CAAAACEAMHKWa+AAAAAIAQAADwAAAAAAAAAAAAAAAAD9AwAAZHJzL2Rvd25yZXYueG1sUEsFBgAA&#10;AAAEAAQA8wAAAAoFAAAAAA==&#10;" filled="f" stroked="f">
                <v:textbox inset="0,0,0,0">
                  <w:txbxContent>
                    <w:p w14:paraId="2B37926E" w14:textId="77777777" w:rsidR="00502BB2" w:rsidRDefault="0069123E">
                      <w:pPr>
                        <w:jc w:val="center"/>
                      </w:pPr>
                      <w:r>
                        <w:rPr>
                          <w:rFonts w:ascii="Times New Roman" w:eastAsia="Times New Roman" w:hAnsi="Times New Roman" w:cs="Times New Roman"/>
                          <w:sz w:val="28"/>
                        </w:rPr>
                        <w:t>En vue de l’obtention du Diplôme de Master académique En Sciences Biologiques ; Option : Biologie Moléculaire et Cellulaire</w:t>
                      </w:r>
                    </w:p>
                  </w:txbxContent>
                </v:textbox>
                <w10:wrap anchorx="margin"/>
              </v:rect>
            </w:pict>
          </mc:Fallback>
        </mc:AlternateContent>
      </w:r>
      <w:r>
        <w:rPr>
          <w:noProof/>
        </w:rPr>
        <mc:AlternateContent>
          <mc:Choice Requires="wps">
            <w:drawing>
              <wp:anchor distT="0" distB="0" distL="114300" distR="114300" simplePos="0" relativeHeight="251675648" behindDoc="0" locked="0" layoutInCell="1" allowOverlap="1" wp14:anchorId="0AA6D925" wp14:editId="3DE51365">
                <wp:simplePos x="0" y="0"/>
                <wp:positionH relativeFrom="margin">
                  <wp:align>center</wp:align>
                </wp:positionH>
                <wp:positionV relativeFrom="paragraph">
                  <wp:posOffset>3170555</wp:posOffset>
                </wp:positionV>
                <wp:extent cx="1415415" cy="239395"/>
                <wp:effectExtent l="0" t="0" r="0" b="0"/>
                <wp:wrapNone/>
                <wp:docPr id="76" name="Rectangle 1"/>
                <wp:cNvGraphicFramePr/>
                <a:graphic xmlns:a="http://schemas.openxmlformats.org/drawingml/2006/main">
                  <a:graphicData uri="http://schemas.microsoft.com/office/word/2010/wordprocessingShape">
                    <wps:wsp>
                      <wps:cNvSpPr/>
                      <wps:spPr>
                        <a:xfrm>
                          <a:off x="0" y="0"/>
                          <a:ext cx="1415143" cy="239486"/>
                        </a:xfrm>
                        <a:prstGeom prst="rect">
                          <a:avLst/>
                        </a:prstGeom>
                        <a:ln>
                          <a:noFill/>
                        </a:ln>
                      </wps:spPr>
                      <wps:txbx>
                        <w:txbxContent>
                          <w:p w14:paraId="323654A6" w14:textId="77777777" w:rsidR="00502BB2" w:rsidRDefault="0069123E">
                            <w:r>
                              <w:rPr>
                                <w:rFonts w:ascii="Times New Roman" w:eastAsia="Times New Roman" w:hAnsi="Times New Roman" w:cs="Times New Roman"/>
                                <w:sz w:val="28"/>
                              </w:rPr>
                              <w:t>MEZIANE Nadia</w:t>
                            </w:r>
                          </w:p>
                        </w:txbxContent>
                      </wps:txbx>
                      <wps:bodyPr horzOverflow="overflow" vert="horz" wrap="square" lIns="0" tIns="0" rIns="0" bIns="0" rtlCol="0">
                        <a:noAutofit/>
                      </wps:bodyPr>
                    </wps:wsp>
                  </a:graphicData>
                </a:graphic>
              </wp:anchor>
            </w:drawing>
          </mc:Choice>
          <mc:Fallback>
            <w:pict>
              <v:rect w14:anchorId="0AA6D925" id="_x0000_s1036" style="position:absolute;margin-left:0;margin-top:249.65pt;width:111.45pt;height:18.85pt;z-index:251675648;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FjnowEAADwDAAAOAAAAZHJzL2Uyb0RvYy54bWysUtuOEzEMfUfiH6K803S6ZbWMOl0hVouQ&#10;ELvSLh+QZpJOpCQOTtqZ8vU46Q3BG+LF49ge+/j4rO4n79heY7IQOt7M5pzpoKC3Ydvx76+P7+44&#10;S1mGXjoIuuMHnfj9+u2b1RhbvYABXK+RUZOQ2jF2fMg5tkIkNWgv0wyiDpQ0gF5meuJW9ChH6u6d&#10;WMznt2IE7COC0ilR9OGY5Ova3xit8pMxSWfmOk7YcrVY7aZYsV7JdosyDladYMh/QOGlDTT00upB&#10;Zsl2aP9q5a1CSGDyTIEXYIxVuu5A2zTzP7Z5GWTUdRciJ8ULTen/tVXf9i/xGYmGMaY2kVu2mAz6&#10;8iV8bKpkHS5k6SkzRcFm2bxvljecKcotbj4s724Lm+L6d8SUP2vwrDgdRzpG5Ujuv6Z8LD2XlGEu&#10;FBvg0Tp3zJaIuOIqXp42E7M9ja+3K6EN9IdnZAPgzydSonEwdhxOHi/ipOEly9lIh+54+rGTqDlz&#10;XwIxWVRxdvDsbM4OZvcJqnaO4D7uMhhb0V9nn1DSier+JzkVDfz+rlVX0a9/AQAA//8DAFBLAwQU&#10;AAYACAAAACEAlHmYzOAAAAAIAQAADwAAAGRycy9kb3ducmV2LnhtbEyPzU7DMBCE70i8g7VI3KhD&#10;CrQJ2VQVP2qP0FYq3Nx4SSLsdRS7TeDpMSc4jmY0802xGK0RJ+p96xjhepKAIK6cbrlG2G2fr+Yg&#10;fFCslXFMCF/kYVGenxUq127gVzptQi1iCftcITQhdLmUvmrIKj9xHXH0PlxvVYiyr6Xu1RDLrZFp&#10;ktxJq1qOC43q6KGh6nNztAirebd8W7vvoTZP76v9yz573GYB8fJiXN6DCDSGvzD84kd0KCPTwR1Z&#10;e2EQ4pGAcJNlUxDRTtM0A3FAuJ3OEpBlIf8fKH8AAAD//wMAUEsBAi0AFAAGAAgAAAAhALaDOJL+&#10;AAAA4QEAABMAAAAAAAAAAAAAAAAAAAAAAFtDb250ZW50X1R5cGVzXS54bWxQSwECLQAUAAYACAAA&#10;ACEAOP0h/9YAAACUAQAACwAAAAAAAAAAAAAAAAAvAQAAX3JlbHMvLnJlbHNQSwECLQAUAAYACAAA&#10;ACEAJghY56MBAAA8AwAADgAAAAAAAAAAAAAAAAAuAgAAZHJzL2Uyb0RvYy54bWxQSwECLQAUAAYA&#10;CAAAACEAlHmYzOAAAAAIAQAADwAAAAAAAAAAAAAAAAD9AwAAZHJzL2Rvd25yZXYueG1sUEsFBgAA&#10;AAAEAAQA8wAAAAoFAAAAAA==&#10;" filled="f" stroked="f">
                <v:textbox inset="0,0,0,0">
                  <w:txbxContent>
                    <w:p w14:paraId="323654A6" w14:textId="77777777" w:rsidR="00502BB2" w:rsidRDefault="0069123E">
                      <w:r>
                        <w:rPr>
                          <w:rFonts w:ascii="Times New Roman" w:eastAsia="Times New Roman" w:hAnsi="Times New Roman" w:cs="Times New Roman"/>
                          <w:sz w:val="28"/>
                        </w:rPr>
                        <w:t>MEZIANE Nadia</w:t>
                      </w:r>
                    </w:p>
                  </w:txbxContent>
                </v:textbox>
                <w10:wrap anchorx="margin"/>
              </v:rect>
            </w:pict>
          </mc:Fallback>
        </mc:AlternateContent>
      </w:r>
      <w:r>
        <w:rPr>
          <w:noProof/>
        </w:rPr>
        <mc:AlternateContent>
          <mc:Choice Requires="wps">
            <w:drawing>
              <wp:anchor distT="0" distB="0" distL="114300" distR="114300" simplePos="0" relativeHeight="251674624" behindDoc="0" locked="0" layoutInCell="1" allowOverlap="1" wp14:anchorId="1825D0F3" wp14:editId="7DCDCA26">
                <wp:simplePos x="0" y="0"/>
                <wp:positionH relativeFrom="margin">
                  <wp:align>center</wp:align>
                </wp:positionH>
                <wp:positionV relativeFrom="paragraph">
                  <wp:posOffset>2768600</wp:posOffset>
                </wp:positionV>
                <wp:extent cx="958215" cy="250190"/>
                <wp:effectExtent l="0" t="0" r="0" b="0"/>
                <wp:wrapNone/>
                <wp:docPr id="73" name="Rectangle 1"/>
                <wp:cNvGraphicFramePr/>
                <a:graphic xmlns:a="http://schemas.openxmlformats.org/drawingml/2006/main">
                  <a:graphicData uri="http://schemas.microsoft.com/office/word/2010/wordprocessingShape">
                    <wps:wsp>
                      <wps:cNvSpPr/>
                      <wps:spPr>
                        <a:xfrm>
                          <a:off x="0" y="0"/>
                          <a:ext cx="957943" cy="250371"/>
                        </a:xfrm>
                        <a:prstGeom prst="rect">
                          <a:avLst/>
                        </a:prstGeom>
                        <a:ln>
                          <a:noFill/>
                        </a:ln>
                      </wps:spPr>
                      <wps:txbx>
                        <w:txbxContent>
                          <w:p w14:paraId="419116D8" w14:textId="77777777" w:rsidR="00502BB2" w:rsidRDefault="0069123E">
                            <w:pPr>
                              <w:rPr>
                                <w:b/>
                                <w:bCs/>
                                <w:sz w:val="28"/>
                                <w:szCs w:val="28"/>
                              </w:rPr>
                            </w:pPr>
                            <w:r>
                              <w:rPr>
                                <w:rFonts w:ascii="Tw Cen MT" w:eastAsia="Tw Cen MT" w:hAnsi="Tw Cen MT" w:cs="Tw Cen MT"/>
                                <w:b/>
                                <w:bCs/>
                                <w:sz w:val="28"/>
                                <w:szCs w:val="28"/>
                              </w:rPr>
                              <w:t>Présenté par</w:t>
                            </w:r>
                          </w:p>
                        </w:txbxContent>
                      </wps:txbx>
                      <wps:bodyPr horzOverflow="overflow" vert="horz" wrap="square" lIns="0" tIns="0" rIns="0" bIns="0" rtlCol="0">
                        <a:noAutofit/>
                      </wps:bodyPr>
                    </wps:wsp>
                  </a:graphicData>
                </a:graphic>
              </wp:anchor>
            </w:drawing>
          </mc:Choice>
          <mc:Fallback>
            <w:pict>
              <v:rect w14:anchorId="1825D0F3" id="_x0000_s1037" style="position:absolute;margin-left:0;margin-top:218pt;width:75.45pt;height:19.7pt;z-index:25167462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6ZLowEAADsDAAAOAAAAZHJzL2Uyb0RvYy54bWysUttuEzEQfUfiHyy/E29SSukqmwpRFSEh&#10;Wqn0AxyvnbVke8zYyW74esbODcFbxcvs8Yx35szxWd5N3rGdxmQhdHw+azjTQUFvw6bjLz8e3n3k&#10;LGUZeukg6I7vdeJ3q7dvlmNs9QIGcL1GRk1CasfY8SHn2AqR1KC9TDOIOlDRAHqZ6Ygb0aMcqbt3&#10;YtE0H8QI2EcEpVOi7P2hyFe1vzFa5Udjks7MdZy45RqxxnWJYrWU7QZlHKw60pCvYOGlDTT03Ope&#10;Zsm2aP9p5a1CSGDyTIEXYIxVuu5A28ybv7Z5HmTUdRcSJ8WzTOn/tVXfd8/xCUmGMaY2ESxbTAZ9&#10;+RI/NlWx9mex9JSZouTt9c3t+yvOFJUW183VzbyIKS4/R0z5iwbPCug40ltUieTuW8qHq6crZZYL&#10;JQZ4sM4dqiUjLrQKytN6YrYnp9VpJbWGfv+EbAD89UhGNA7GjsMR8eJNGl6qnI30zh1PP7cSNWfu&#10;ayAhiylOAE9gfQKY3Weo1jmQ+7TNYGxlf5l9ZEkvVPc/uqlY4M9zvXXx/Oo3AAAA//8DAFBLAwQU&#10;AAYACAAAACEAgTh79eAAAAAIAQAADwAAAGRycy9kb3ducmV2LnhtbEyPzU7DMBCE70i8g7VI3KgD&#10;tKUJcaqKH7VHaCu13Nx4SSLsdRS7TeDp2Z7gtrszmv0mnw/OihN2ofGk4HaUgEAqvWmoUrDdvN7M&#10;QISoyWjrCRV8Y4B5cXmR68z4nt7xtI6V4BAKmVZQx9hmUoayRqfDyLdIrH36zunIa1dJ0+mew52V&#10;d0kylU43xB9q3eJTjeXX+ugULGftYr/yP31lXz6Wu7dd+rxJo1LXV8PiEUTEIf6Z4YzP6FAw08Ef&#10;yQRhFXCRqGB8P+XhLE+SFMSBLw+TMcgil/8LFL8AAAD//wMAUEsBAi0AFAAGAAgAAAAhALaDOJL+&#10;AAAA4QEAABMAAAAAAAAAAAAAAAAAAAAAAFtDb250ZW50X1R5cGVzXS54bWxQSwECLQAUAAYACAAA&#10;ACEAOP0h/9YAAACUAQAACwAAAAAAAAAAAAAAAAAvAQAAX3JlbHMvLnJlbHNQSwECLQAUAAYACAAA&#10;ACEA8X+mS6MBAAA7AwAADgAAAAAAAAAAAAAAAAAuAgAAZHJzL2Uyb0RvYy54bWxQSwECLQAUAAYA&#10;CAAAACEAgTh79eAAAAAIAQAADwAAAAAAAAAAAAAAAAD9AwAAZHJzL2Rvd25yZXYueG1sUEsFBgAA&#10;AAAEAAQA8wAAAAoFAAAAAA==&#10;" filled="f" stroked="f">
                <v:textbox inset="0,0,0,0">
                  <w:txbxContent>
                    <w:p w14:paraId="419116D8" w14:textId="77777777" w:rsidR="00502BB2" w:rsidRDefault="0069123E">
                      <w:pPr>
                        <w:rPr>
                          <w:b/>
                          <w:bCs/>
                          <w:sz w:val="28"/>
                          <w:szCs w:val="28"/>
                        </w:rPr>
                      </w:pPr>
                      <w:r>
                        <w:rPr>
                          <w:rFonts w:ascii="Tw Cen MT" w:eastAsia="Tw Cen MT" w:hAnsi="Tw Cen MT" w:cs="Tw Cen MT"/>
                          <w:b/>
                          <w:bCs/>
                          <w:sz w:val="28"/>
                          <w:szCs w:val="28"/>
                        </w:rPr>
                        <w:t>Présenté par</w:t>
                      </w:r>
                    </w:p>
                  </w:txbxContent>
                </v:textbox>
                <w10:wrap anchorx="margin"/>
              </v:rect>
            </w:pict>
          </mc:Fallback>
        </mc:AlternateContent>
      </w:r>
      <w:r>
        <w:rPr>
          <w:noProof/>
        </w:rPr>
        <mc:AlternateContent>
          <mc:Choice Requires="wps">
            <w:drawing>
              <wp:anchor distT="0" distB="0" distL="114300" distR="114300" simplePos="0" relativeHeight="251673600" behindDoc="0" locked="0" layoutInCell="1" allowOverlap="1" wp14:anchorId="5AD105C5" wp14:editId="52F94E35">
                <wp:simplePos x="0" y="0"/>
                <wp:positionH relativeFrom="margin">
                  <wp:align>center</wp:align>
                </wp:positionH>
                <wp:positionV relativeFrom="paragraph">
                  <wp:posOffset>2299970</wp:posOffset>
                </wp:positionV>
                <wp:extent cx="2133600" cy="272415"/>
                <wp:effectExtent l="0" t="0" r="0" b="0"/>
                <wp:wrapNone/>
                <wp:docPr id="65" name="Rectangle 1"/>
                <wp:cNvGraphicFramePr/>
                <a:graphic xmlns:a="http://schemas.openxmlformats.org/drawingml/2006/main">
                  <a:graphicData uri="http://schemas.microsoft.com/office/word/2010/wordprocessingShape">
                    <wps:wsp>
                      <wps:cNvSpPr/>
                      <wps:spPr>
                        <a:xfrm>
                          <a:off x="0" y="0"/>
                          <a:ext cx="2133600" cy="272143"/>
                        </a:xfrm>
                        <a:prstGeom prst="rect">
                          <a:avLst/>
                        </a:prstGeom>
                        <a:ln>
                          <a:noFill/>
                        </a:ln>
                      </wps:spPr>
                      <wps:txbx>
                        <w:txbxContent>
                          <w:p w14:paraId="32BF0938" w14:textId="77777777" w:rsidR="00502BB2" w:rsidRDefault="0069123E">
                            <w:pPr>
                              <w:jc w:val="center"/>
                              <w:rPr>
                                <w:sz w:val="36"/>
                                <w:szCs w:val="36"/>
                              </w:rPr>
                            </w:pPr>
                            <w:r>
                              <w:rPr>
                                <w:rFonts w:ascii="Times New Roman" w:eastAsia="Times New Roman" w:hAnsi="Times New Roman" w:cs="Times New Roman"/>
                                <w:sz w:val="36"/>
                                <w:szCs w:val="36"/>
                              </w:rPr>
                              <w:t>Mémoire de fin d’études</w:t>
                            </w:r>
                          </w:p>
                        </w:txbxContent>
                      </wps:txbx>
                      <wps:bodyPr horzOverflow="overflow" vert="horz" wrap="square" lIns="0" tIns="0" rIns="0" bIns="0" rtlCol="0">
                        <a:noAutofit/>
                      </wps:bodyPr>
                    </wps:wsp>
                  </a:graphicData>
                </a:graphic>
              </wp:anchor>
            </w:drawing>
          </mc:Choice>
          <mc:Fallback>
            <w:pict>
              <v:rect w14:anchorId="5AD105C5" id="_x0000_s1038" style="position:absolute;margin-left:0;margin-top:181.1pt;width:168pt;height:21.45pt;z-index:251673600;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dTogEAADwDAAAOAAAAZHJzL2Uyb0RvYy54bWysUtuO0zAQfUfiHyy/U6cpWlDUdIVYLUJC&#10;7EoLH+A6dmPJ9pix26R8PWP3huAN8TI5nnFmzhyf9f3sHTtoTBZCz5eLhjMdFAw27Hr+/dvjm/ec&#10;pSzDIB0E3fOjTvx+8/rVeoqdbmEEN2hk1CSkboo9H3OOnRBJjdrLtICoAxUNoJeZjrgTA8qJunsn&#10;2qa5ExPgEBGUTomyD6ci39T+xmiVn4xJOjPXc+KWa8QatyWKzVp2O5RxtOpMQ/4DCy9toKHXVg8y&#10;S7ZH+1crbxVCApMXCrwAY6zSdQfaZtn8sc3LKKOuu5A4KV5lSv+vrfp6eInPSDJMMXWJYNliNujL&#10;l/ixuYp1vIql58wUJdvlanXXkKaKau27dvl2VdQUt78jpvxJg2cF9BzpMapG8vAl5dPVy5UyzIUS&#10;Azxa507VkhE3XgXleTszO5DV2jKtpLYwHJ+RjYA/n8iJxsHUczgjXsxJw0uVs4keuufpx16i5sx9&#10;DqRkccUF4AVsLwCz+wjVOydyH/YZjK3sb7PPLOmJ6v5nOxUP/H6ut26m3/wCAAD//wMAUEsDBBQA&#10;BgAIAAAAIQCyaCB/4AAAAAgBAAAPAAAAZHJzL2Rvd25yZXYueG1sTI9LT8MwEITvSPwHa5G4UacJ&#10;RG3Ipqp4qByhRSrc3HhJIvyIYrcJ/HqWExxnZzXzTbmarBEnGkLnHcJ8loAgV3vduQbhdfd4tQAR&#10;onJaGe8I4YsCrKrzs1IV2o/uhU7b2AgOcaFQCG2MfSFlqFuyKsx8T469Dz9YFVkOjdSDGjncGpkm&#10;SS6t6hw3tKqnu5bqz+3RImwW/frtyX+PjXl43+yf98v73TIiXl5M61sQkab49wy/+IwOFTMd/NHp&#10;IAwCD4kIWZ6mINjOspwvB4Tr5GYOsirl/wHVDwAAAP//AwBQSwECLQAUAAYACAAAACEAtoM4kv4A&#10;AADhAQAAEwAAAAAAAAAAAAAAAAAAAAAAW0NvbnRlbnRfVHlwZXNdLnhtbFBLAQItABQABgAIAAAA&#10;IQA4/SH/1gAAAJQBAAALAAAAAAAAAAAAAAAAAC8BAABfcmVscy8ucmVsc1BLAQItABQABgAIAAAA&#10;IQB+jldTogEAADwDAAAOAAAAAAAAAAAAAAAAAC4CAABkcnMvZTJvRG9jLnhtbFBLAQItABQABgAI&#10;AAAAIQCyaCB/4AAAAAgBAAAPAAAAAAAAAAAAAAAAAPwDAABkcnMvZG93bnJldi54bWxQSwUGAAAA&#10;AAQABADzAAAACQUAAAAA&#10;" filled="f" stroked="f">
                <v:textbox inset="0,0,0,0">
                  <w:txbxContent>
                    <w:p w14:paraId="32BF0938" w14:textId="77777777" w:rsidR="00502BB2" w:rsidRDefault="0069123E">
                      <w:pPr>
                        <w:jc w:val="center"/>
                        <w:rPr>
                          <w:sz w:val="36"/>
                          <w:szCs w:val="36"/>
                        </w:rPr>
                      </w:pPr>
                      <w:r>
                        <w:rPr>
                          <w:rFonts w:ascii="Times New Roman" w:eastAsia="Times New Roman" w:hAnsi="Times New Roman" w:cs="Times New Roman"/>
                          <w:sz w:val="36"/>
                          <w:szCs w:val="36"/>
                        </w:rPr>
                        <w:t>Mémoire de fin d’études</w:t>
                      </w:r>
                    </w:p>
                  </w:txbxContent>
                </v:textbox>
                <w10:wrap anchorx="margin"/>
              </v:rect>
            </w:pict>
          </mc:Fallback>
        </mc:AlternateContent>
      </w:r>
      <w:r>
        <w:rPr>
          <w:noProof/>
        </w:rPr>
        <mc:AlternateContent>
          <mc:Choice Requires="wps">
            <w:drawing>
              <wp:anchor distT="0" distB="0" distL="114300" distR="114300" simplePos="0" relativeHeight="251672576" behindDoc="0" locked="0" layoutInCell="1" allowOverlap="1" wp14:anchorId="3A5CA582" wp14:editId="0F465163">
                <wp:simplePos x="0" y="0"/>
                <wp:positionH relativeFrom="margin">
                  <wp:align>center</wp:align>
                </wp:positionH>
                <wp:positionV relativeFrom="paragraph">
                  <wp:posOffset>1425575</wp:posOffset>
                </wp:positionV>
                <wp:extent cx="7056120" cy="577215"/>
                <wp:effectExtent l="0" t="0" r="0" b="0"/>
                <wp:wrapNone/>
                <wp:docPr id="51" name="Rectangle 1"/>
                <wp:cNvGraphicFramePr/>
                <a:graphic xmlns:a="http://schemas.openxmlformats.org/drawingml/2006/main">
                  <a:graphicData uri="http://schemas.microsoft.com/office/word/2010/wordprocessingShape">
                    <wps:wsp>
                      <wps:cNvSpPr/>
                      <wps:spPr>
                        <a:xfrm>
                          <a:off x="0" y="0"/>
                          <a:ext cx="7056005" cy="576943"/>
                        </a:xfrm>
                        <a:prstGeom prst="rect">
                          <a:avLst/>
                        </a:prstGeom>
                        <a:ln>
                          <a:noFill/>
                        </a:ln>
                      </wps:spPr>
                      <wps:txbx>
                        <w:txbxContent>
                          <w:p w14:paraId="2CA7A08E" w14:textId="77777777" w:rsidR="00502BB2" w:rsidRDefault="0069123E">
                            <w:pPr>
                              <w:jc w:val="center"/>
                              <w:rPr>
                                <w:rFonts w:ascii="Tw Cen MT" w:eastAsia="Tw Cen MT" w:hAnsi="Tw Cen MT" w:cs="Tw Cen MT"/>
                                <w:b/>
                                <w:bCs/>
                                <w:sz w:val="28"/>
                              </w:rPr>
                            </w:pPr>
                            <w:r>
                              <w:rPr>
                                <w:rFonts w:ascii="Tw Cen MT" w:eastAsia="Tw Cen MT" w:hAnsi="Tw Cen MT" w:cs="Tw Cen MT"/>
                                <w:b/>
                                <w:bCs/>
                                <w:sz w:val="28"/>
                              </w:rPr>
                              <w:t>Faculté des sciences de la nature et de la vie et des sciences de la terre et de l’univers</w:t>
                            </w:r>
                          </w:p>
                          <w:p w14:paraId="35C72601" w14:textId="77777777" w:rsidR="00502BB2" w:rsidRDefault="0069123E">
                            <w:pPr>
                              <w:jc w:val="center"/>
                              <w:rPr>
                                <w:rFonts w:ascii="Tw Cen MT" w:eastAsia="Tw Cen MT" w:hAnsi="Tw Cen MT" w:cs="Tw Cen MT"/>
                                <w:b/>
                                <w:bCs/>
                                <w:sz w:val="28"/>
                              </w:rPr>
                            </w:pPr>
                            <w:r>
                              <w:rPr>
                                <w:rFonts w:ascii="Tw Cen MT" w:eastAsia="Tw Cen MT" w:hAnsi="Tw Cen MT" w:cs="Tw Cen MT"/>
                                <w:b/>
                                <w:bCs/>
                                <w:sz w:val="28"/>
                              </w:rPr>
                              <w:t>Département de Biologie</w:t>
                            </w:r>
                          </w:p>
                          <w:p w14:paraId="3409B39B" w14:textId="77777777" w:rsidR="00502BB2" w:rsidRDefault="00502BB2">
                            <w:pPr>
                              <w:jc w:val="center"/>
                            </w:pPr>
                          </w:p>
                        </w:txbxContent>
                      </wps:txbx>
                      <wps:bodyPr horzOverflow="overflow" vert="horz" lIns="0" tIns="0" rIns="0" bIns="0" rtlCol="0">
                        <a:noAutofit/>
                      </wps:bodyPr>
                    </wps:wsp>
                  </a:graphicData>
                </a:graphic>
              </wp:anchor>
            </w:drawing>
          </mc:Choice>
          <mc:Fallback>
            <w:pict>
              <v:rect w14:anchorId="3A5CA582" id="_x0000_s1039" style="position:absolute;margin-left:0;margin-top:112.25pt;width:555.6pt;height:45.45pt;z-index:251672576;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Oe+mQEAAC4DAAAOAAAAZHJzL2Uyb0RvYy54bWysUttuGyEQfa+Uf0C8x2zS2GlWXkdVolSV&#10;qiZS2g/ALHiRgEED8a779R3wrWrfqrzMHmbYmTOHs7yfvGNbjclC6PjVrOFMBwW9DZuO//zxdPmJ&#10;s5Rl6KWDoDu+04nfry4+LMfY6msYwPUaGTUJqR1jx4ecYytEUoP2Ms0g6kBFA+hlpiNuRI9ypO7e&#10;ieumWYgRsI8ISqdE2cd9ka9qf2O0ys/GJJ2Z6zhxyzVijesSxWop2w3KOFh1oCH/g4WXNtDQU6tH&#10;mSV7Q/tPK28VQgKTZwq8AGOs0nUH2uaq+Wub10FGXXchcVI8yZTer636vn2NL0gyjDG1iWDZYjLo&#10;y5f4samKtTuJpafMFCVvm/miaeacKarNbxd3Nx+LmuL8d8SUv2jwrICOIz1G1Uhuv6W8v3q8Uoa5&#10;UGKAJ+vcvloy4syroDytJ2Z7slqdVlJr6HcvyAbAX8/kRONg7DgcEC/mpOGlypn7Gki74oMjwCNY&#10;HwFm9wDVLXs6n98yGFv5nqcdeNGj1I0PBiqv/ue53jrbfPUbAAD//wMAUEsDBBQABgAIAAAAIQAQ&#10;ap124AAAAAkBAAAPAAAAZHJzL2Rvd25yZXYueG1sTI/NTsMwEITvSLyDtUjcqNPQojZkU1X8qBxL&#10;i9T25sZLEmGvo9htAk+Pe4K5rWY1802+GKwRZ+p84xhhPEpAEJdON1whfGxf72YgfFCslXFMCN/k&#10;YVFcX+Uq067ndzpvQiViCPtMIdQhtJmUvqzJKj9yLXH0Pl1nVYhnV0ndqT6GWyPTJHmQVjUcG2rV&#10;0lNN5dfmZBFWs3a5f3M/fWVeDqvdejd/3s4D4u3NsHwEEWgIf89wwY/oUESmozux9sIgxCEBIU0n&#10;UxAXOyoFcUS4H08nIItc/l9Q/AIAAP//AwBQSwECLQAUAAYACAAAACEAtoM4kv4AAADhAQAAEwAA&#10;AAAAAAAAAAAAAAAAAAAAW0NvbnRlbnRfVHlwZXNdLnhtbFBLAQItABQABgAIAAAAIQA4/SH/1gAA&#10;AJQBAAALAAAAAAAAAAAAAAAAAC8BAABfcmVscy8ucmVsc1BLAQItABQABgAIAAAAIQDjsOe+mQEA&#10;AC4DAAAOAAAAAAAAAAAAAAAAAC4CAABkcnMvZTJvRG9jLnhtbFBLAQItABQABgAIAAAAIQAQap12&#10;4AAAAAkBAAAPAAAAAAAAAAAAAAAAAPMDAABkcnMvZG93bnJldi54bWxQSwUGAAAAAAQABADzAAAA&#10;AAUAAAAA&#10;" filled="f" stroked="f">
                <v:textbox inset="0,0,0,0">
                  <w:txbxContent>
                    <w:p w14:paraId="2CA7A08E" w14:textId="77777777" w:rsidR="00502BB2" w:rsidRDefault="0069123E">
                      <w:pPr>
                        <w:jc w:val="center"/>
                        <w:rPr>
                          <w:rFonts w:ascii="Tw Cen MT" w:eastAsia="Tw Cen MT" w:hAnsi="Tw Cen MT" w:cs="Tw Cen MT"/>
                          <w:b/>
                          <w:bCs/>
                          <w:sz w:val="28"/>
                        </w:rPr>
                      </w:pPr>
                      <w:r>
                        <w:rPr>
                          <w:rFonts w:ascii="Tw Cen MT" w:eastAsia="Tw Cen MT" w:hAnsi="Tw Cen MT" w:cs="Tw Cen MT"/>
                          <w:b/>
                          <w:bCs/>
                          <w:sz w:val="28"/>
                        </w:rPr>
                        <w:t>Faculté des sciences de la nature et de la vie et des sciences de la terre et de l’univers</w:t>
                      </w:r>
                    </w:p>
                    <w:p w14:paraId="35C72601" w14:textId="77777777" w:rsidR="00502BB2" w:rsidRDefault="0069123E">
                      <w:pPr>
                        <w:jc w:val="center"/>
                        <w:rPr>
                          <w:rFonts w:ascii="Tw Cen MT" w:eastAsia="Tw Cen MT" w:hAnsi="Tw Cen MT" w:cs="Tw Cen MT"/>
                          <w:b/>
                          <w:bCs/>
                          <w:sz w:val="28"/>
                        </w:rPr>
                      </w:pPr>
                      <w:r>
                        <w:rPr>
                          <w:rFonts w:ascii="Tw Cen MT" w:eastAsia="Tw Cen MT" w:hAnsi="Tw Cen MT" w:cs="Tw Cen MT"/>
                          <w:b/>
                          <w:bCs/>
                          <w:sz w:val="28"/>
                        </w:rPr>
                        <w:t>Département de Biologie</w:t>
                      </w:r>
                    </w:p>
                    <w:p w14:paraId="3409B39B" w14:textId="77777777" w:rsidR="00502BB2" w:rsidRDefault="00502BB2">
                      <w:pPr>
                        <w:jc w:val="center"/>
                      </w:pPr>
                    </w:p>
                  </w:txbxContent>
                </v:textbox>
                <w10:wrap anchorx="margin"/>
              </v:rect>
            </w:pict>
          </mc:Fallback>
        </mc:AlternateContent>
      </w:r>
      <w:r>
        <w:rPr>
          <w:noProof/>
        </w:rPr>
        <mc:AlternateContent>
          <mc:Choice Requires="wps">
            <w:drawing>
              <wp:anchor distT="0" distB="0" distL="114300" distR="114300" simplePos="0" relativeHeight="251671552" behindDoc="0" locked="0" layoutInCell="1" allowOverlap="1" wp14:anchorId="17ACEF53" wp14:editId="60660B02">
                <wp:simplePos x="0" y="0"/>
                <wp:positionH relativeFrom="column">
                  <wp:posOffset>-453390</wp:posOffset>
                </wp:positionH>
                <wp:positionV relativeFrom="paragraph">
                  <wp:posOffset>123190</wp:posOffset>
                </wp:positionV>
                <wp:extent cx="1240790" cy="1099185"/>
                <wp:effectExtent l="0" t="0" r="0" b="5715"/>
                <wp:wrapNone/>
                <wp:docPr id="2040303748" name="Text Box 16"/>
                <wp:cNvGraphicFramePr/>
                <a:graphic xmlns:a="http://schemas.openxmlformats.org/drawingml/2006/main">
                  <a:graphicData uri="http://schemas.microsoft.com/office/word/2010/wordprocessingShape">
                    <wps:wsp>
                      <wps:cNvSpPr txBox="1"/>
                      <wps:spPr>
                        <a:xfrm>
                          <a:off x="0" y="0"/>
                          <a:ext cx="1240972" cy="1099457"/>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5FEB0084" w14:textId="77777777" w:rsidR="00502BB2" w:rsidRDefault="0069123E">
                            <w:r>
                              <w:rPr>
                                <w:noProof/>
                              </w:rPr>
                              <w:drawing>
                                <wp:inline distT="0" distB="0" distL="0" distR="0" wp14:anchorId="3BE7901C" wp14:editId="3D9066A7">
                                  <wp:extent cx="937895" cy="565150"/>
                                  <wp:effectExtent l="0" t="0" r="0" b="6350"/>
                                  <wp:docPr id="1566292390" name="Picture 17" descr="Voir au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92390" name="Picture 17" descr="Voir auss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951206" cy="57334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ACEF53" id="Text Box 16" o:spid="_x0000_s1040" type="#_x0000_t202" style="position:absolute;margin-left:-35.7pt;margin-top:9.7pt;width:97.7pt;height:86.5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yTUAIAAP4EAAAOAAAAZHJzL2Uyb0RvYy54bWysVN2PEjEQfzfxf2j6LrsQ9ISwXJALxoR4&#10;F9H4XLotNLad2hZ28a932mUBP17O+NJO53t+M9PZfWs0OQofFNiKDgclJcJyqJXdVfTL59Wrt5SE&#10;yGzNNFhR0ZMI9H7+8sWscVMxgj3oWniCTmyYNq6i+xjdtCgC3wvDwgCcsCiU4A2L+PS7ovasQe9G&#10;F6OyfFM04GvngYsQkPvQCek8+5dS8PgoZRCR6IpibjGfPp/bdBbzGZvuPHN7xc9psH/IwjBlMejF&#10;1QOLjBy8+sOVUdxDABkHHEwBUioucg1YzbD8rZrNnjmRa0FwgrvAFP6fW/7xuHFPnsT2HbTYwARI&#10;48I0IDPV00pv0o2ZEpQjhKcLbKKNhCej0bic3I0o4SgblpPJ+PVd8lNczZ0P8b0AQxJRUY99yXCx&#10;4zrETrVXSdEsrJTWuTfa/sJAn4lTXHPMVDxpkfS0/SQkUXVONTEC97vtUnvS9RyHEkvoO5+doUFS&#10;lBjwmbZnk2Qt8qg90/5ilOODjRd7oyz4DFBeBJEKODIc4fpb7hAmLjv9HooOgIRFbLctIoCdGPfN&#10;3EJ9wh576MY/OL5S2Ic1C/GJeZx3xAR3OD7iITU0FYUzRcke/I+/8ZM+jiFKKWlwfyoavh+YF5To&#10;DxYHdDIcj9PC5QcOxAgf/layvZXYg1kC1jfE38LxTCb9qHtSejBfcdUXKSqKmOUYu6KxJ5ex6zB+&#10;FVwsFlkJV8yxuLYbx5PrBLOFxSGCVHnoElwdNmcYccny2J4/hLTFt++sdf225j8BAAD//wMAUEsD&#10;BBQABgAIAAAAIQDZUXeh3QAAAAoBAAAPAAAAZHJzL2Rvd25yZXYueG1sTI9BT8MwDIXvSPsPkZG4&#10;bcmqjrHSdJpAXEFsgMQta7y2onGqJlvLv8c9sZNlv6fn7+Xb0bXign1oPGlYLhQIpNLbhioNH4eX&#10;+QOIEA1Z03pCDb8YYFvMbnKTWT/QO172sRIcQiEzGuoYu0zKUNboTFj4Dom1k++dibz2lbS9GTjc&#10;tTJR6l460xB/qE2HTzWWP/uz0/D5evr+StVb9exW3eBHJcltpNZ3t+PuEUTEMf6bYcJndCiY6ejP&#10;ZINoNczXy5StLGx4ToYk5XLH6ZCsQBa5vK5Q/AEAAP//AwBQSwECLQAUAAYACAAAACEAtoM4kv4A&#10;AADhAQAAEwAAAAAAAAAAAAAAAAAAAAAAW0NvbnRlbnRfVHlwZXNdLnhtbFBLAQItABQABgAIAAAA&#10;IQA4/SH/1gAAAJQBAAALAAAAAAAAAAAAAAAAAC8BAABfcmVscy8ucmVsc1BLAQItABQABgAIAAAA&#10;IQC+dryTUAIAAP4EAAAOAAAAAAAAAAAAAAAAAC4CAABkcnMvZTJvRG9jLnhtbFBLAQItABQABgAI&#10;AAAAIQDZUXeh3QAAAAoBAAAPAAAAAAAAAAAAAAAAAKoEAABkcnMvZG93bnJldi54bWxQSwUGAAAA&#10;AAQABADzAAAAtAUAAAAA&#10;" filled="f" stroked="f">
                <v:textbox>
                  <w:txbxContent>
                    <w:p w14:paraId="5FEB0084" w14:textId="77777777" w:rsidR="00502BB2" w:rsidRDefault="0069123E">
                      <w:r>
                        <w:rPr>
                          <w:noProof/>
                        </w:rPr>
                        <w:drawing>
                          <wp:inline distT="0" distB="0" distL="0" distR="0" wp14:anchorId="3BE7901C" wp14:editId="3D9066A7">
                            <wp:extent cx="937895" cy="565150"/>
                            <wp:effectExtent l="0" t="0" r="0" b="6350"/>
                            <wp:docPr id="1566292390" name="Picture 17" descr="Voir aus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92390" name="Picture 17" descr="Voir auss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951206" cy="573347"/>
                                    </a:xfrm>
                                    <a:prstGeom prst="rect">
                                      <a:avLst/>
                                    </a:prstGeom>
                                    <a:noFill/>
                                    <a:ln>
                                      <a:noFill/>
                                    </a:ln>
                                  </pic:spPr>
                                </pic:pic>
                              </a:graphicData>
                            </a:graphic>
                          </wp:inline>
                        </w:drawing>
                      </w:r>
                    </w:p>
                  </w:txbxContent>
                </v:textbox>
              </v:shape>
            </w:pict>
          </mc:Fallback>
        </mc:AlternateContent>
      </w:r>
      <w:r>
        <w:rPr>
          <w:noProof/>
        </w:rPr>
        <w:drawing>
          <wp:anchor distT="0" distB="0" distL="114300" distR="114300" simplePos="0" relativeHeight="251670528" behindDoc="0" locked="0" layoutInCell="1" allowOverlap="1" wp14:anchorId="45C12CFC" wp14:editId="1EE7908C">
            <wp:simplePos x="0" y="0"/>
            <wp:positionH relativeFrom="margin">
              <wp:align>right</wp:align>
            </wp:positionH>
            <wp:positionV relativeFrom="paragraph">
              <wp:posOffset>14605</wp:posOffset>
            </wp:positionV>
            <wp:extent cx="718185" cy="1001395"/>
            <wp:effectExtent l="0" t="0" r="5715" b="8255"/>
            <wp:wrapNone/>
            <wp:docPr id="170" name="Picture 1"/>
            <wp:cNvGraphicFramePr/>
            <a:graphic xmlns:a="http://schemas.openxmlformats.org/drawingml/2006/main">
              <a:graphicData uri="http://schemas.openxmlformats.org/drawingml/2006/picture">
                <pic:pic xmlns:pic="http://schemas.openxmlformats.org/drawingml/2006/picture">
                  <pic:nvPicPr>
                    <pic:cNvPr id="170" name="Picture 1"/>
                    <pic:cNvPicPr/>
                  </pic:nvPicPr>
                  <pic:blipFill>
                    <a:blip r:embed="rId11"/>
                    <a:stretch>
                      <a:fillRect/>
                    </a:stretch>
                  </pic:blipFill>
                  <pic:spPr>
                    <a:xfrm>
                      <a:off x="0" y="0"/>
                      <a:ext cx="718458" cy="1001485"/>
                    </a:xfrm>
                    <a:prstGeom prst="rect">
                      <a:avLst/>
                    </a:prstGeom>
                  </pic:spPr>
                </pic:pic>
              </a:graphicData>
            </a:graphic>
          </wp:anchor>
        </w:drawing>
      </w:r>
      <w:r>
        <w:rPr>
          <w:noProof/>
        </w:rPr>
        <mc:AlternateContent>
          <mc:Choice Requires="wps">
            <w:drawing>
              <wp:anchor distT="0" distB="0" distL="114300" distR="114300" simplePos="0" relativeHeight="251668480" behindDoc="0" locked="0" layoutInCell="1" allowOverlap="1" wp14:anchorId="34A10BE6" wp14:editId="21524382">
                <wp:simplePos x="0" y="0"/>
                <wp:positionH relativeFrom="margin">
                  <wp:posOffset>239395</wp:posOffset>
                </wp:positionH>
                <wp:positionV relativeFrom="paragraph">
                  <wp:posOffset>177165</wp:posOffset>
                </wp:positionV>
                <wp:extent cx="5247005" cy="501015"/>
                <wp:effectExtent l="0" t="0" r="0" b="0"/>
                <wp:wrapNone/>
                <wp:docPr id="31" name="Rectangle 1"/>
                <wp:cNvGraphicFramePr/>
                <a:graphic xmlns:a="http://schemas.openxmlformats.org/drawingml/2006/main">
                  <a:graphicData uri="http://schemas.microsoft.com/office/word/2010/wordprocessingShape">
                    <wps:wsp>
                      <wps:cNvSpPr/>
                      <wps:spPr>
                        <a:xfrm>
                          <a:off x="0" y="0"/>
                          <a:ext cx="5246915" cy="500743"/>
                        </a:xfrm>
                        <a:prstGeom prst="rect">
                          <a:avLst/>
                        </a:prstGeom>
                        <a:ln>
                          <a:noFill/>
                        </a:ln>
                      </wps:spPr>
                      <wps:txbx>
                        <w:txbxContent>
                          <w:p w14:paraId="1DC7AAE7" w14:textId="77777777" w:rsidR="00502BB2" w:rsidRDefault="0069123E">
                            <w:pPr>
                              <w:jc w:val="center"/>
                            </w:pPr>
                            <w:r>
                              <w:rPr>
                                <w:rFonts w:ascii="Times New Roman" w:eastAsia="Times New Roman" w:hAnsi="Times New Roman" w:cs="Times New Roman"/>
                                <w:sz w:val="28"/>
                              </w:rPr>
                              <w:t>République Algérienne Démocratique et Populaire Ministère de l’enseignement supérieure et de la recherche scientifique</w:t>
                            </w:r>
                          </w:p>
                        </w:txbxContent>
                      </wps:txbx>
                      <wps:bodyPr horzOverflow="overflow" vert="horz" wrap="square" lIns="0" tIns="0" rIns="0" bIns="0" rtlCol="0">
                        <a:noAutofit/>
                      </wps:bodyPr>
                    </wps:wsp>
                  </a:graphicData>
                </a:graphic>
              </wp:anchor>
            </w:drawing>
          </mc:Choice>
          <mc:Fallback>
            <w:pict>
              <v:rect w14:anchorId="34A10BE6" id="_x0000_s1041" style="position:absolute;margin-left:18.85pt;margin-top:13.95pt;width:413.15pt;height:39.45pt;z-index:2516684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EHfpAEAADwDAAAOAAAAZHJzL2Uyb0RvYy54bWysUtuO0zAQfUfiHyy/U6dluyxR0xVitQgJ&#10;sSstfIDr2I0l22PGbpPy9YzdG4I3xMvkeMaZOXN8VveTd2yvMVkIHZ/PGs50UNDbsO3492+Pb+44&#10;S1mGXjoIuuMHnfj9+vWr1RhbvYABXK+RUZOQ2jF2fMg5tkIkNWgv0wyiDlQ0gF5mOuJW9ChH6u6d&#10;WDTNrRgB+4igdEqUfTgW+br2N0ar/GRM0pm5jhO3XCPWuClRrFey3aKMg1UnGvIfWHhpAw29tHqQ&#10;WbId2r9aeasQEpg8U+AFGGOVrjvQNvPmj21eBhl13YXESfEiU/p/bdXX/Ut8RpJhjKlNBMsWk0Ff&#10;vsSPTVWsw0UsPWWmKLlc3Ny+ny85U1RbNs27m7dFTXH9O2LKnzR4VkDHkR6jaiT3X1I+Xj1fKcNc&#10;KDHAo3XuWC0ZceVVUJ42E7M9WW1ZppXUBvrDM7IB8OcTOdE4GDsOJ8SLOWl4qXI20kN3PP3YSdSc&#10;uc+BlCyuOAM8g80ZYHYfoXrnSO7DLoOxlf119oklPVHd/2Sn4oHfz/XW1fTrXwAAAP//AwBQSwME&#10;FAAGAAgAAAAhAIrgYxPgAAAACQEAAA8AAABkcnMvZG93bnJldi54bWxMj8tOwzAQRfdI/IM1SOyo&#10;Q0F5EaeqeKgsS4vUducmQxJhj6PYbQJfz7CC5ege3Tm3WEzWiDMOvnOk4HYWgUCqXN1Ro+B9+3KT&#10;gvBBU62NI1TwhR4W5eVFofPajfSG501oBJeQz7WCNoQ+l9JXLVrtZ65H4uzDDVYHPodG1oMeudwa&#10;OY+iWFrdEX9odY+PLVafm5NVsEr75f7VfY+NeT6sdutd9rTNglLXV9PyAUTAKfzB8KvP6lCy09Gd&#10;qPbCKLhLEiYVzJMMBOdpfM/bjgxGcQqyLOT/BeUPAAAA//8DAFBLAQItABQABgAIAAAAIQC2gziS&#10;/gAAAOEBAAATAAAAAAAAAAAAAAAAAAAAAABbQ29udGVudF9UeXBlc10ueG1sUEsBAi0AFAAGAAgA&#10;AAAhADj9If/WAAAAlAEAAAsAAAAAAAAAAAAAAAAALwEAAF9yZWxzLy5yZWxzUEsBAi0AFAAGAAgA&#10;AAAhAHJMQd+kAQAAPAMAAA4AAAAAAAAAAAAAAAAALgIAAGRycy9lMm9Eb2MueG1sUEsBAi0AFAAG&#10;AAgAAAAhAIrgYxPgAAAACQEAAA8AAAAAAAAAAAAAAAAA/gMAAGRycy9kb3ducmV2LnhtbFBLBQYA&#10;AAAABAAEAPMAAAALBQAAAAA=&#10;" filled="f" stroked="f">
                <v:textbox inset="0,0,0,0">
                  <w:txbxContent>
                    <w:p w14:paraId="1DC7AAE7" w14:textId="77777777" w:rsidR="00502BB2" w:rsidRDefault="0069123E">
                      <w:pPr>
                        <w:jc w:val="center"/>
                      </w:pPr>
                      <w:r>
                        <w:rPr>
                          <w:rFonts w:ascii="Times New Roman" w:eastAsia="Times New Roman" w:hAnsi="Times New Roman" w:cs="Times New Roman"/>
                          <w:sz w:val="28"/>
                        </w:rPr>
                        <w:t>République Algérienne Démocratique et Populaire Ministère de l’enseignement supérieure et de la recherche scientifique</w:t>
                      </w:r>
                    </w:p>
                  </w:txbxContent>
                </v:textbox>
                <w10:wrap anchorx="margin"/>
              </v:rect>
            </w:pict>
          </mc:Fallback>
        </mc:AlternateContent>
      </w:r>
      <w:r>
        <w:rPr>
          <w:noProof/>
        </w:rPr>
        <mc:AlternateContent>
          <mc:Choice Requires="wps">
            <w:drawing>
              <wp:anchor distT="0" distB="0" distL="114300" distR="114300" simplePos="0" relativeHeight="251669504" behindDoc="0" locked="0" layoutInCell="1" allowOverlap="1" wp14:anchorId="6BF49A9B" wp14:editId="21DC17FC">
                <wp:simplePos x="0" y="0"/>
                <wp:positionH relativeFrom="margin">
                  <wp:align>center</wp:align>
                </wp:positionH>
                <wp:positionV relativeFrom="paragraph">
                  <wp:posOffset>775970</wp:posOffset>
                </wp:positionV>
                <wp:extent cx="4399280" cy="173990"/>
                <wp:effectExtent l="0" t="0" r="0" b="0"/>
                <wp:wrapNone/>
                <wp:docPr id="48" name="Rectangle 1"/>
                <wp:cNvGraphicFramePr/>
                <a:graphic xmlns:a="http://schemas.openxmlformats.org/drawingml/2006/main">
                  <a:graphicData uri="http://schemas.microsoft.com/office/word/2010/wordprocessingShape">
                    <wps:wsp>
                      <wps:cNvSpPr/>
                      <wps:spPr>
                        <a:xfrm>
                          <a:off x="0" y="0"/>
                          <a:ext cx="4399189" cy="174172"/>
                        </a:xfrm>
                        <a:prstGeom prst="rect">
                          <a:avLst/>
                        </a:prstGeom>
                        <a:ln>
                          <a:noFill/>
                        </a:ln>
                      </wps:spPr>
                      <wps:txbx>
                        <w:txbxContent>
                          <w:p w14:paraId="222894E6" w14:textId="77777777" w:rsidR="00502BB2" w:rsidRDefault="0069123E">
                            <w:pPr>
                              <w:jc w:val="center"/>
                            </w:pPr>
                            <w:r>
                              <w:rPr>
                                <w:rFonts w:ascii="Tw Cen MT" w:eastAsia="Tw Cen MT" w:hAnsi="Tw Cen MT" w:cs="Tw Cen MT"/>
                                <w:sz w:val="28"/>
                              </w:rPr>
                              <w:t>Université ABOU BARK BELKAID de Tlemcen</w:t>
                            </w:r>
                          </w:p>
                        </w:txbxContent>
                      </wps:txbx>
                      <wps:bodyPr horzOverflow="overflow" vert="horz" wrap="square" lIns="0" tIns="0" rIns="0" bIns="0" rtlCol="0">
                        <a:noAutofit/>
                      </wps:bodyPr>
                    </wps:wsp>
                  </a:graphicData>
                </a:graphic>
              </wp:anchor>
            </w:drawing>
          </mc:Choice>
          <mc:Fallback>
            <w:pict>
              <v:rect w14:anchorId="6BF49A9B" id="_x0000_s1042" style="position:absolute;margin-left:0;margin-top:61.1pt;width:346.4pt;height:13.7pt;z-index:251669504;visibility:visible;mso-wrap-style:squar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OLjpAEAADwDAAAOAAAAZHJzL2Uyb0RvYy54bWysUttuEzEQfUfiHyy/E2dD1TarbCpEVYSE&#10;aKXCBzheO2vJ9pixk93w9YydG4I3xMvs8Yx35szxWT1M3rG9xmQhdLyZzTnTQUFvw7bj3789vbvn&#10;LGUZeukg6I4fdOIP67dvVmNs9QIGcL1GRk1CasfY8SHn2AqR1KC9TDOIOlDRAHqZ6Yhb0aMcqbt3&#10;YjGf34oRsI8ISqdE2cdjka9rf2O0ys/GJJ2Z6zhxyzVijZsSxXol2y3KOFh1oiH/gYWXNtDQS6tH&#10;mSXbof2rlbcKIYHJMwVegDFW6boDbdPM/9jmdZBR111InBQvMqX/11Z93b/GFyQZxpjaRLBsMRn0&#10;5Uv82FTFOlzE0lNmipI375fL5n7JmaJac3fT3C2KmuL6d8SUP2nwrICOIz1G1Ujuv6R8vHq+Uoa5&#10;UGKAJ+vcsVoy4sqroDxtJmZ7mnhbppXUBvrDC7IB8OczOdE4GDsOJ8SLOWl4qXI20kN3PP3YSdSc&#10;uc+BlCyuOAM8g80ZYHYfoXrnSO7DLoOxlf119oklPVHd/2Sn4oHfz/XW1fTrXwAAAP//AwBQSwME&#10;FAAGAAgAAAAhAP4++/TeAAAACAEAAA8AAABkcnMvZG93bnJldi54bWxMj81OwzAQhO9IvIO1SNyo&#10;g4WiJsSpKn5UjtAiFW5uvCQR9jqK3Sbw9CwnOO7MaHa+ajV7J044xj6QhutFBgKpCbanVsPr7vFq&#10;CSImQ9a4QKjhCyOs6vOzypQ2TPSCp21qBZdQLI2GLqWhlDI2HXoTF2FAYu8jjN4kPsdW2tFMXO6d&#10;VFmWS2964g+dGfCuw+Zze/QaNsth/fYUvqfWPbxv9s/74n5XJK0vL+b1LYiEc/oLw+98ng41bzqE&#10;I9konAYGSawqpUCwnReKSQ6s3BQ5yLqS/wHqHwAAAP//AwBQSwECLQAUAAYACAAAACEAtoM4kv4A&#10;AADhAQAAEwAAAAAAAAAAAAAAAAAAAAAAW0NvbnRlbnRfVHlwZXNdLnhtbFBLAQItABQABgAIAAAA&#10;IQA4/SH/1gAAAJQBAAALAAAAAAAAAAAAAAAAAC8BAABfcmVscy8ucmVsc1BLAQItABQABgAIAAAA&#10;IQAdSOLjpAEAADwDAAAOAAAAAAAAAAAAAAAAAC4CAABkcnMvZTJvRG9jLnhtbFBLAQItABQABgAI&#10;AAAAIQD+Pvv03gAAAAgBAAAPAAAAAAAAAAAAAAAAAP4DAABkcnMvZG93bnJldi54bWxQSwUGAAAA&#10;AAQABADzAAAACQUAAAAA&#10;" filled="f" stroked="f">
                <v:textbox inset="0,0,0,0">
                  <w:txbxContent>
                    <w:p w14:paraId="222894E6" w14:textId="77777777" w:rsidR="00502BB2" w:rsidRDefault="0069123E">
                      <w:pPr>
                        <w:jc w:val="center"/>
                      </w:pPr>
                      <w:r>
                        <w:rPr>
                          <w:rFonts w:ascii="Tw Cen MT" w:eastAsia="Tw Cen MT" w:hAnsi="Tw Cen MT" w:cs="Tw Cen MT"/>
                          <w:sz w:val="28"/>
                        </w:rPr>
                        <w:t>Université ABOU BARK BELKAID de Tlemcen</w:t>
                      </w:r>
                    </w:p>
                  </w:txbxContent>
                </v:textbox>
                <w10:wrap anchorx="margin"/>
              </v:rect>
            </w:pict>
          </mc:Fallback>
        </mc:AlternateContent>
      </w:r>
      <w:r>
        <w:rPr>
          <w:rFonts w:ascii="Arial" w:eastAsia="Arial" w:hAnsi="Arial" w:cs="Arial"/>
          <w:color w:val="000000"/>
          <w:sz w:val="24"/>
          <w:szCs w:val="24"/>
          <w:lang w:eastAsia="fr-FR"/>
        </w:rPr>
        <w:br w:type="page"/>
      </w:r>
    </w:p>
    <w:p w14:paraId="7BBECAB8" w14:textId="77777777" w:rsidR="00502BB2" w:rsidRDefault="00502BB2">
      <w:pPr>
        <w:spacing w:line="276" w:lineRule="auto"/>
        <w:rPr>
          <w:rFonts w:ascii="Freestyle Script" w:eastAsia="Freestyle Script" w:hAnsi="Freestyle Script" w:cs="Freestyle Script"/>
          <w:sz w:val="32"/>
        </w:rPr>
      </w:pPr>
    </w:p>
    <w:p w14:paraId="6173DC3E" w14:textId="77777777" w:rsidR="00502BB2" w:rsidRDefault="00502BB2">
      <w:pPr>
        <w:spacing w:line="276" w:lineRule="auto"/>
        <w:rPr>
          <w:rFonts w:ascii="Freestyle Script" w:eastAsia="Freestyle Script" w:hAnsi="Freestyle Script" w:cs="Freestyle Script"/>
          <w:sz w:val="32"/>
        </w:rPr>
      </w:pPr>
    </w:p>
    <w:p w14:paraId="34D529D7" w14:textId="77777777" w:rsidR="00502BB2" w:rsidRDefault="00502BB2">
      <w:pPr>
        <w:spacing w:line="276" w:lineRule="auto"/>
        <w:rPr>
          <w:rFonts w:ascii="Freestyle Script" w:eastAsia="Freestyle Script" w:hAnsi="Freestyle Script" w:cs="Freestyle Script"/>
          <w:sz w:val="32"/>
        </w:rPr>
      </w:pPr>
    </w:p>
    <w:p w14:paraId="70B2E57C" w14:textId="77777777" w:rsidR="00502BB2" w:rsidRDefault="00502BB2">
      <w:pPr>
        <w:spacing w:line="276" w:lineRule="auto"/>
        <w:rPr>
          <w:rFonts w:ascii="Freestyle Script" w:eastAsia="Freestyle Script" w:hAnsi="Freestyle Script" w:cs="Freestyle Script"/>
          <w:sz w:val="32"/>
        </w:rPr>
      </w:pPr>
    </w:p>
    <w:p w14:paraId="1A1AB1B9" w14:textId="77777777" w:rsidR="00502BB2" w:rsidRDefault="0069123E">
      <w:pPr>
        <w:spacing w:line="276" w:lineRule="auto"/>
        <w:rPr>
          <w:rFonts w:ascii="Freestyle Script" w:eastAsia="Freestyle Script" w:hAnsi="Freestyle Script" w:cs="Freestyle Script"/>
          <w:sz w:val="32"/>
        </w:rPr>
      </w:pPr>
      <w:r>
        <w:rPr>
          <w:rFonts w:ascii="Freestyle Script" w:eastAsia="Freestyle Script" w:hAnsi="Freestyle Script" w:cs="Freestyle Script"/>
          <w:sz w:val="32"/>
        </w:rPr>
        <w:t>Remerciement</w:t>
      </w:r>
    </w:p>
    <w:p w14:paraId="0D20BA6F" w14:textId="77777777" w:rsidR="00502BB2" w:rsidRDefault="0069123E">
      <w:pPr>
        <w:spacing w:line="276" w:lineRule="auto"/>
        <w:rPr>
          <w:rFonts w:ascii="Freestyle Script" w:eastAsia="Freestyle Script" w:hAnsi="Freestyle Script" w:cs="Freestyle Script"/>
          <w:sz w:val="32"/>
        </w:rPr>
      </w:pPr>
      <w:r>
        <w:rPr>
          <w:rFonts w:ascii="Freestyle Script" w:eastAsia="Freestyle Script" w:hAnsi="Freestyle Script" w:cs="Freestyle Script"/>
          <w:sz w:val="32"/>
        </w:rPr>
        <w:t>Je tiens à exprimer ma profondes gratitude…</w:t>
      </w:r>
    </w:p>
    <w:p w14:paraId="3B9CFEF4" w14:textId="77777777" w:rsidR="00502BB2" w:rsidRDefault="0069123E">
      <w:pPr>
        <w:spacing w:after="61" w:line="276" w:lineRule="auto"/>
      </w:pPr>
      <w:r>
        <w:rPr>
          <w:rFonts w:ascii="Freestyle Script" w:eastAsia="Freestyle Script" w:hAnsi="Freestyle Script" w:cs="Freestyle Script"/>
          <w:sz w:val="32"/>
        </w:rPr>
        <w:t xml:space="preserve">Tout d'abord, à mon encadrante, qui a été un guide inestimable tout au long de ce projet, Mme Saker Meriem, à qui je suis profondément reconnaissante pour son soutien constant, ses conseils avisés, son accompagnement bienveillant, et le temps et l’énergie qu'elle a consacré à ce projet.  </w:t>
      </w:r>
      <w:r>
        <w:t xml:space="preserve"> </w:t>
      </w:r>
    </w:p>
    <w:p w14:paraId="10EDAD30" w14:textId="77777777" w:rsidR="00502BB2" w:rsidRDefault="0069123E">
      <w:pPr>
        <w:spacing w:after="61" w:line="254" w:lineRule="auto"/>
      </w:pPr>
      <w:r>
        <w:rPr>
          <w:rFonts w:ascii="Freestyle Script" w:eastAsia="Freestyle Script" w:hAnsi="Freestyle Script" w:cs="Freestyle Script"/>
          <w:sz w:val="32"/>
        </w:rPr>
        <w:t xml:space="preserve">Je tiens également à remercier les membres du jury d’avoir accepté d’évaluer mon travail et pour leurs suggestions enrichissantes qui ont contribué à son amélioration. </w:t>
      </w:r>
      <w:r>
        <w:t xml:space="preserve"> </w:t>
      </w:r>
    </w:p>
    <w:p w14:paraId="0919B60D" w14:textId="77777777" w:rsidR="00502BB2" w:rsidRDefault="0069123E">
      <w:pPr>
        <w:spacing w:after="61" w:line="254" w:lineRule="auto"/>
      </w:pPr>
      <w:r>
        <w:rPr>
          <w:rFonts w:ascii="Freestyle Script" w:eastAsia="Freestyle Script" w:hAnsi="Freestyle Script" w:cs="Freestyle Script"/>
          <w:sz w:val="32"/>
        </w:rPr>
        <w:t xml:space="preserve">Je souhaite remercier chaleureusement tous les professeurs qui m'ont formé dans ce domaine, et qui ont su me transmettre leur passion pour la recherche scientifique et d’avoir éveillé en moi l’envie de poursuivre dans cette voie. </w:t>
      </w:r>
      <w:r>
        <w:t xml:space="preserve"> </w:t>
      </w:r>
    </w:p>
    <w:p w14:paraId="3A69B942" w14:textId="77777777" w:rsidR="00502BB2" w:rsidRDefault="0069123E">
      <w:pPr>
        <w:spacing w:after="77" w:line="240" w:lineRule="auto"/>
      </w:pPr>
      <w:r>
        <w:rPr>
          <w:rFonts w:ascii="Freestyle Script" w:eastAsia="Freestyle Script" w:hAnsi="Freestyle Script" w:cs="Freestyle Script"/>
          <w:sz w:val="32"/>
        </w:rPr>
        <w:t xml:space="preserve">Un remerciement spécial à Monsieur Chaabane Sari Daoudi pour son soutien constant, le partage généreux de ses connaissances et de ses expériences en physiopathologie, et pour avoir élargi notre vision dans ce domaine complexe. </w:t>
      </w:r>
      <w:r>
        <w:t xml:space="preserve"> </w:t>
      </w:r>
    </w:p>
    <w:p w14:paraId="04F4FD16" w14:textId="77777777" w:rsidR="00502BB2" w:rsidRDefault="0069123E">
      <w:pPr>
        <w:rPr>
          <w:rFonts w:asciiTheme="minorBidi" w:hAnsiTheme="minorBidi"/>
          <w:b/>
          <w:bCs/>
          <w:sz w:val="24"/>
          <w:szCs w:val="24"/>
        </w:rPr>
      </w:pPr>
      <w:r>
        <w:rPr>
          <w:rFonts w:ascii="Freestyle Script" w:eastAsia="Freestyle Script" w:hAnsi="Freestyle Script" w:cs="Freestyle Script"/>
          <w:sz w:val="32"/>
        </w:rPr>
        <w:t>Enfin, je souhaite exprimer ma gratitude à Monsieur MEDJADI Sidimohammed, Médecin chef responsable du service Réanimation et Anesthésie, ainsi qu'à l'ensemble du personnel du service, pour m’on avoir permis de travailler dans un environnement si accueillant et stimulant</w:t>
      </w:r>
    </w:p>
    <w:p w14:paraId="459DDBE1" w14:textId="77777777" w:rsidR="00502BB2" w:rsidRDefault="00502BB2">
      <w:pPr>
        <w:rPr>
          <w:rFonts w:asciiTheme="minorBidi" w:hAnsiTheme="minorBidi"/>
          <w:b/>
          <w:bCs/>
          <w:sz w:val="24"/>
          <w:szCs w:val="24"/>
        </w:rPr>
      </w:pPr>
    </w:p>
    <w:p w14:paraId="54092AFE" w14:textId="77777777" w:rsidR="00502BB2" w:rsidRDefault="00502BB2">
      <w:pPr>
        <w:rPr>
          <w:rFonts w:asciiTheme="minorBidi" w:hAnsiTheme="minorBidi"/>
          <w:b/>
          <w:bCs/>
          <w:sz w:val="24"/>
          <w:szCs w:val="24"/>
        </w:rPr>
      </w:pPr>
    </w:p>
    <w:p w14:paraId="7EC32D75" w14:textId="77777777" w:rsidR="00502BB2" w:rsidRDefault="00502BB2">
      <w:pPr>
        <w:rPr>
          <w:rFonts w:asciiTheme="minorBidi" w:hAnsiTheme="minorBidi"/>
          <w:b/>
          <w:bCs/>
          <w:sz w:val="24"/>
          <w:szCs w:val="24"/>
        </w:rPr>
      </w:pPr>
    </w:p>
    <w:p w14:paraId="20B3E3E2" w14:textId="77777777" w:rsidR="00502BB2" w:rsidRDefault="0069123E">
      <w:pPr>
        <w:rPr>
          <w:rFonts w:asciiTheme="minorBidi" w:hAnsiTheme="minorBidi"/>
          <w:b/>
          <w:bCs/>
          <w:sz w:val="24"/>
          <w:szCs w:val="24"/>
        </w:rPr>
      </w:pPr>
      <w:r>
        <w:rPr>
          <w:rFonts w:asciiTheme="minorBidi" w:hAnsiTheme="minorBidi"/>
          <w:b/>
          <w:bCs/>
          <w:sz w:val="24"/>
          <w:szCs w:val="24"/>
        </w:rPr>
        <w:br w:type="page"/>
      </w:r>
    </w:p>
    <w:p w14:paraId="303A0AAD" w14:textId="77777777" w:rsidR="00502BB2" w:rsidRDefault="00502BB2">
      <w:pPr>
        <w:rPr>
          <w:rFonts w:asciiTheme="minorBidi" w:hAnsiTheme="minorBidi"/>
          <w:b/>
          <w:bCs/>
          <w:sz w:val="24"/>
          <w:szCs w:val="24"/>
        </w:rPr>
        <w:sectPr w:rsidR="00502BB2">
          <w:headerReference w:type="even" r:id="rId12"/>
          <w:pgSz w:w="12240" w:h="15840"/>
          <w:pgMar w:top="1417" w:right="1417" w:bottom="1417" w:left="1417" w:header="720" w:footer="720" w:gutter="0"/>
          <w:pgBorders w:zOrder="back" w:offsetFrom="page">
            <w:top w:val="threeDEngrave" w:sz="36" w:space="24" w:color="747474" w:themeColor="background2" w:themeShade="80"/>
            <w:left w:val="threeDEngrave" w:sz="36" w:space="24" w:color="747474" w:themeColor="background2" w:themeShade="80"/>
            <w:bottom w:val="threeDEmboss" w:sz="36" w:space="24" w:color="747474" w:themeColor="background2" w:themeShade="80"/>
            <w:right w:val="threeDEmboss" w:sz="36" w:space="24" w:color="747474" w:themeColor="background2" w:themeShade="80"/>
          </w:pgBorders>
          <w:cols w:space="720"/>
        </w:sectPr>
      </w:pPr>
    </w:p>
    <w:p w14:paraId="3DB863D1" w14:textId="77777777" w:rsidR="00502BB2" w:rsidRDefault="0069123E">
      <w:pPr>
        <w:pStyle w:val="Heading1"/>
        <w:spacing w:after="480"/>
        <w:ind w:left="513" w:right="628"/>
        <w:jc w:val="center"/>
        <w:rPr>
          <w:b/>
          <w:bCs/>
          <w:sz w:val="60"/>
          <w:szCs w:val="60"/>
        </w:rPr>
      </w:pPr>
      <w:bookmarkStart w:id="0" w:name="_Toc226577308"/>
      <w:r>
        <w:rPr>
          <w:rFonts w:ascii="Tw Cen MT" w:eastAsia="Tw Cen MT" w:hAnsi="Tw Cen MT" w:cs="Tw Cen MT"/>
          <w:b/>
          <w:bCs/>
          <w:i/>
          <w:color w:val="000000"/>
          <w:sz w:val="60"/>
          <w:szCs w:val="60"/>
        </w:rPr>
        <w:lastRenderedPageBreak/>
        <w:t>RESUMÉ</w:t>
      </w:r>
      <w:bookmarkEnd w:id="0"/>
    </w:p>
    <w:p w14:paraId="65DA2203" w14:textId="77777777" w:rsidR="00502BB2" w:rsidRDefault="0069123E">
      <w:pPr>
        <w:ind w:firstLine="513"/>
        <w:jc w:val="both"/>
        <w:rPr>
          <w:rFonts w:asciiTheme="minorBidi" w:hAnsiTheme="minorBidi"/>
          <w:sz w:val="24"/>
          <w:szCs w:val="24"/>
        </w:rPr>
      </w:pPr>
      <w:r>
        <w:rPr>
          <w:rFonts w:asciiTheme="minorBidi" w:hAnsiTheme="minorBidi"/>
          <w:sz w:val="24"/>
          <w:szCs w:val="24"/>
        </w:rPr>
        <w:t xml:space="preserve">L’acidocétose diabétique (DKA) représente une complication aiguë grave du diabète sucré, caractérisée par une hyperglycémie, une acidose métabolique et une accumulation excessive de corps cétoniques. Elle peut évoluer vers une altération de l’état de conscience, voire un coma, constituant une urgence médicale associée à une morbidité et </w:t>
      </w:r>
      <w:proofErr w:type="gramStart"/>
      <w:r>
        <w:rPr>
          <w:rFonts w:asciiTheme="minorBidi" w:hAnsiTheme="minorBidi"/>
          <w:sz w:val="24"/>
          <w:szCs w:val="24"/>
        </w:rPr>
        <w:t>une mortalité importantes</w:t>
      </w:r>
      <w:proofErr w:type="gramEnd"/>
      <w:r>
        <w:rPr>
          <w:rFonts w:asciiTheme="minorBidi" w:hAnsiTheme="minorBidi"/>
          <w:sz w:val="24"/>
          <w:szCs w:val="24"/>
        </w:rPr>
        <w:t>.</w:t>
      </w:r>
    </w:p>
    <w:p w14:paraId="7C57CC2A" w14:textId="77777777" w:rsidR="00502BB2" w:rsidRDefault="0069123E">
      <w:pPr>
        <w:ind w:firstLine="513"/>
        <w:jc w:val="both"/>
        <w:rPr>
          <w:rFonts w:asciiTheme="minorBidi" w:hAnsiTheme="minorBidi"/>
          <w:sz w:val="24"/>
          <w:szCs w:val="24"/>
        </w:rPr>
      </w:pPr>
      <w:r>
        <w:rPr>
          <w:rFonts w:asciiTheme="minorBidi" w:hAnsiTheme="minorBidi"/>
          <w:sz w:val="24"/>
          <w:szCs w:val="24"/>
        </w:rPr>
        <w:t>Ce travail rétrospectif a été réalisé au niveau du CHU de Tlemcen et a porté sur 44 patients atteints de cétose diabétique ou d’acidocétose diabétique, répartis entre le service de médecine interne et le service de réanimation. L’objectif principal de cette étude était de comparer les paramètres cliniques et biologiques entre les deux groupes afin d’identifier les marqueurs associés à la gravité de l’acidocétose diabétique et au risque de coma.</w:t>
      </w:r>
    </w:p>
    <w:p w14:paraId="4F4069DB" w14:textId="77777777" w:rsidR="00502BB2" w:rsidRDefault="0069123E">
      <w:pPr>
        <w:ind w:firstLine="513"/>
        <w:jc w:val="both"/>
        <w:rPr>
          <w:rFonts w:asciiTheme="minorBidi" w:hAnsiTheme="minorBidi"/>
          <w:sz w:val="24"/>
          <w:szCs w:val="24"/>
        </w:rPr>
      </w:pPr>
      <w:r>
        <w:rPr>
          <w:rFonts w:asciiTheme="minorBidi" w:hAnsiTheme="minorBidi"/>
          <w:sz w:val="24"/>
          <w:szCs w:val="24"/>
        </w:rPr>
        <w:t xml:space="preserve">Les résultats ont montré que les patients hospitalisés en réanimation présentent une acidose métabolique plus sévère, caractérisée par une augmentation significative de l’anion gap et de l’osmolarité plasmatique, témoignant d’une accumulation importante de corps cétoniques et d’une déshydratation plus marquée. Le score de Glasgow plus faible dans ce groupe confirme une altération plus importante de l’état de conscience. Des perturbations électrolytiques, notamment une hyperkaliémie relative et une </w:t>
      </w:r>
      <w:proofErr w:type="spellStart"/>
      <w:r>
        <w:rPr>
          <w:rFonts w:asciiTheme="minorBidi" w:hAnsiTheme="minorBidi"/>
          <w:sz w:val="24"/>
          <w:szCs w:val="24"/>
        </w:rPr>
        <w:t>hyperchlorémie</w:t>
      </w:r>
      <w:proofErr w:type="spellEnd"/>
      <w:r>
        <w:rPr>
          <w:rFonts w:asciiTheme="minorBidi" w:hAnsiTheme="minorBidi"/>
          <w:sz w:val="24"/>
          <w:szCs w:val="24"/>
        </w:rPr>
        <w:t>, ainsi qu’une élévation des paramètres rénaux et hépatiques, ont également été observées, traduisant l’impact systémique de l’acidocétose diabétique.</w:t>
      </w:r>
    </w:p>
    <w:p w14:paraId="7529E779" w14:textId="77777777" w:rsidR="00502BB2" w:rsidRDefault="0069123E">
      <w:pPr>
        <w:ind w:firstLine="513"/>
        <w:jc w:val="both"/>
        <w:rPr>
          <w:rFonts w:asciiTheme="minorBidi" w:hAnsiTheme="minorBidi"/>
          <w:sz w:val="24"/>
          <w:szCs w:val="24"/>
        </w:rPr>
      </w:pPr>
      <w:r>
        <w:rPr>
          <w:rFonts w:asciiTheme="minorBidi" w:hAnsiTheme="minorBidi"/>
          <w:sz w:val="24"/>
          <w:szCs w:val="24"/>
        </w:rPr>
        <w:t>En revanche, certains paramètres tels que la cétonurie, la glucosurie et la température n’ont pas montré de différence significative entre les groupes, ce qui limite leur valeur prédictive de la gravité neurologique.</w:t>
      </w:r>
    </w:p>
    <w:p w14:paraId="63A202E4" w14:textId="77777777" w:rsidR="00502BB2" w:rsidRDefault="0069123E">
      <w:pPr>
        <w:jc w:val="both"/>
        <w:rPr>
          <w:rFonts w:asciiTheme="minorBidi" w:hAnsiTheme="minorBidi"/>
          <w:sz w:val="24"/>
          <w:szCs w:val="24"/>
        </w:rPr>
      </w:pPr>
      <w:r>
        <w:rPr>
          <w:rFonts w:asciiTheme="minorBidi" w:hAnsiTheme="minorBidi"/>
          <w:sz w:val="24"/>
          <w:szCs w:val="24"/>
        </w:rPr>
        <w:t xml:space="preserve"> </w:t>
      </w:r>
      <w:r>
        <w:rPr>
          <w:rFonts w:asciiTheme="minorBidi" w:hAnsiTheme="minorBidi"/>
          <w:sz w:val="24"/>
          <w:szCs w:val="24"/>
        </w:rPr>
        <w:tab/>
        <w:t>Alors que l’anion gap, l’osmolarité plasmatique, le pH, les bicarbonates et le score de Glasgow apparaissent comme les indicateurs les plus pertinents pour évaluer la sévérité de l’acidocétose diabétique et identifier précocement les patients à risque de coma.</w:t>
      </w:r>
    </w:p>
    <w:p w14:paraId="5955E16F" w14:textId="77777777" w:rsidR="00502BB2" w:rsidRDefault="0069123E">
      <w:pPr>
        <w:ind w:firstLine="708"/>
        <w:jc w:val="both"/>
        <w:rPr>
          <w:rFonts w:asciiTheme="minorBidi" w:hAnsiTheme="minorBidi"/>
          <w:b/>
          <w:bCs/>
          <w:sz w:val="24"/>
          <w:szCs w:val="24"/>
        </w:rPr>
      </w:pPr>
      <w:r>
        <w:rPr>
          <w:rFonts w:asciiTheme="minorBidi" w:hAnsiTheme="minorBidi"/>
          <w:b/>
          <w:bCs/>
          <w:sz w:val="24"/>
          <w:szCs w:val="24"/>
        </w:rPr>
        <w:t>Mots-clés :</w:t>
      </w:r>
    </w:p>
    <w:p w14:paraId="4EB63BC9" w14:textId="77777777" w:rsidR="00502BB2" w:rsidRDefault="0069123E">
      <w:pPr>
        <w:jc w:val="both"/>
        <w:rPr>
          <w:rFonts w:asciiTheme="minorBidi" w:hAnsiTheme="minorBidi"/>
          <w:sz w:val="24"/>
          <w:szCs w:val="24"/>
        </w:rPr>
      </w:pPr>
      <w:r>
        <w:rPr>
          <w:rFonts w:asciiTheme="minorBidi" w:hAnsiTheme="minorBidi"/>
          <w:sz w:val="24"/>
          <w:szCs w:val="24"/>
        </w:rPr>
        <w:t>Acidocétose diabétique, coma diabétique, anion gap, osmolarité plasmatique, score de Glasgow, biomarqueurs, gravité, réanimation.</w:t>
      </w:r>
    </w:p>
    <w:p w14:paraId="40206D67" w14:textId="77777777" w:rsidR="00502BB2" w:rsidRDefault="00502BB2">
      <w:pPr>
        <w:rPr>
          <w:rFonts w:asciiTheme="minorBidi" w:hAnsiTheme="minorBidi"/>
          <w:b/>
          <w:bCs/>
          <w:sz w:val="24"/>
          <w:szCs w:val="24"/>
        </w:rPr>
        <w:sectPr w:rsidR="00502BB2">
          <w:pgSz w:w="12240" w:h="15840"/>
          <w:pgMar w:top="1417" w:right="1417" w:bottom="1417" w:left="1417" w:header="720" w:footer="720" w:gutter="0"/>
          <w:cols w:space="720"/>
        </w:sectPr>
      </w:pPr>
    </w:p>
    <w:p w14:paraId="3711EB06" w14:textId="77777777" w:rsidR="00502BB2" w:rsidRDefault="0069123E">
      <w:pPr>
        <w:spacing w:after="29"/>
        <w:ind w:left="513" w:hanging="10"/>
        <w:jc w:val="center"/>
        <w:rPr>
          <w:b/>
          <w:bCs/>
          <w:color w:val="0D0D0D" w:themeColor="text1" w:themeTint="F2"/>
          <w:sz w:val="60"/>
          <w:szCs w:val="60"/>
          <w:lang w:val="en-US"/>
        </w:rPr>
      </w:pPr>
      <w:bookmarkStart w:id="1" w:name="_Toc226577309"/>
      <w:r>
        <w:rPr>
          <w:rStyle w:val="Heading1Char"/>
          <w:rFonts w:ascii="Tw Cen MT" w:hAnsi="Tw Cen MT"/>
          <w:b/>
          <w:bCs/>
          <w:color w:val="0D0D0D" w:themeColor="text1" w:themeTint="F2"/>
          <w:sz w:val="60"/>
          <w:szCs w:val="60"/>
          <w:lang w:val="en-US"/>
        </w:rPr>
        <w:lastRenderedPageBreak/>
        <w:t>Abstract</w:t>
      </w:r>
      <w:bookmarkEnd w:id="1"/>
      <w:r>
        <w:rPr>
          <w:rFonts w:ascii="Tw Cen MT" w:eastAsia="Tw Cen MT" w:hAnsi="Tw Cen MT" w:cs="Tw Cen MT"/>
          <w:b/>
          <w:bCs/>
          <w:i/>
          <w:color w:val="0D0D0D" w:themeColor="text1" w:themeTint="F2"/>
          <w:sz w:val="60"/>
          <w:szCs w:val="60"/>
          <w:lang w:val="en-US"/>
        </w:rPr>
        <w:t xml:space="preserve">: </w:t>
      </w:r>
    </w:p>
    <w:p w14:paraId="45722084" w14:textId="77777777" w:rsidR="00502BB2" w:rsidRDefault="00502BB2">
      <w:pPr>
        <w:rPr>
          <w:rFonts w:asciiTheme="minorBidi" w:hAnsiTheme="minorBidi"/>
          <w:b/>
          <w:bCs/>
          <w:sz w:val="24"/>
          <w:szCs w:val="24"/>
          <w:lang w:val="en-US"/>
        </w:rPr>
      </w:pPr>
    </w:p>
    <w:p w14:paraId="465651E7" w14:textId="77777777" w:rsidR="00502BB2" w:rsidRDefault="0069123E">
      <w:pPr>
        <w:ind w:firstLine="503"/>
        <w:jc w:val="both"/>
        <w:rPr>
          <w:rFonts w:asciiTheme="minorBidi" w:hAnsiTheme="minorBidi"/>
          <w:sz w:val="24"/>
          <w:szCs w:val="24"/>
          <w:lang w:val="en-US"/>
        </w:rPr>
      </w:pPr>
      <w:r>
        <w:rPr>
          <w:rFonts w:asciiTheme="minorBidi" w:hAnsiTheme="minorBidi"/>
          <w:sz w:val="24"/>
          <w:szCs w:val="24"/>
          <w:lang w:val="en-US"/>
        </w:rPr>
        <w:t>Diabetic ketoacidosis (DKA) is a serious acute complication of diabetes mellitus characterized by hyperglycemia, metabolic acidosis, and excessive accumulation of ketone bodies. It may progress to impaired consciousness and coma, representing a medical emergency associated with significant morbidity and mortality.</w:t>
      </w:r>
    </w:p>
    <w:p w14:paraId="7890DE9C" w14:textId="77777777" w:rsidR="00502BB2" w:rsidRDefault="0069123E">
      <w:pPr>
        <w:ind w:firstLine="503"/>
        <w:jc w:val="both"/>
        <w:rPr>
          <w:rFonts w:asciiTheme="minorBidi" w:hAnsiTheme="minorBidi"/>
          <w:sz w:val="24"/>
          <w:szCs w:val="24"/>
          <w:lang w:val="en-US"/>
        </w:rPr>
      </w:pPr>
      <w:r>
        <w:rPr>
          <w:rFonts w:asciiTheme="minorBidi" w:hAnsiTheme="minorBidi"/>
          <w:sz w:val="24"/>
          <w:szCs w:val="24"/>
          <w:lang w:val="en-US"/>
        </w:rPr>
        <w:t>This retrospective study was conducted at the University Hospital of Telemen and included 44 patients presenting with diabetic ketosis or diabetic ketoacidosis, admitted either to the internal medicine department or the intensive care unit. The main objective of this study was to compare clinical and biochemical parameters between the two groups in order to identify biomarkers associated with the severity of diabetic ketoacidosis and the risk of coma.</w:t>
      </w:r>
    </w:p>
    <w:p w14:paraId="68B902C0" w14:textId="77777777" w:rsidR="00502BB2" w:rsidRDefault="0069123E">
      <w:pPr>
        <w:ind w:firstLine="503"/>
        <w:jc w:val="both"/>
        <w:rPr>
          <w:rFonts w:asciiTheme="minorBidi" w:hAnsiTheme="minorBidi"/>
          <w:sz w:val="24"/>
          <w:szCs w:val="24"/>
          <w:lang w:val="en-US"/>
        </w:rPr>
      </w:pPr>
      <w:r>
        <w:rPr>
          <w:rFonts w:asciiTheme="minorBidi" w:hAnsiTheme="minorBidi"/>
          <w:sz w:val="24"/>
          <w:szCs w:val="24"/>
          <w:lang w:val="en-US"/>
        </w:rPr>
        <w:t>The results showed that patients admitted to intensive care presented more severe metabolic acidosis, characterized by a significant increase in anion gap and plasma osmolarity, reflecting a higher accumulation of ketone bodies and more pronounced dehydration. The lower Glasgow Coma Scale score observed in this group indicates a greater impairment of consciousness. Electrolyte disturbances, including relative hyperkalemia and hyperchloremia, as well as increased renal and hepatic parameters, were also obser</w:t>
      </w:r>
      <w:r>
        <w:rPr>
          <w:rFonts w:asciiTheme="minorBidi" w:hAnsiTheme="minorBidi"/>
          <w:sz w:val="24"/>
          <w:szCs w:val="24"/>
          <w:lang w:val="en-US"/>
        </w:rPr>
        <w:t>ved, highlighting the systemic impact of diabetic ketoacidosis.</w:t>
      </w:r>
    </w:p>
    <w:p w14:paraId="1CAB782A" w14:textId="77777777" w:rsidR="00502BB2" w:rsidRDefault="0069123E">
      <w:pPr>
        <w:ind w:firstLine="503"/>
        <w:jc w:val="both"/>
        <w:rPr>
          <w:rFonts w:asciiTheme="minorBidi" w:hAnsiTheme="minorBidi"/>
          <w:sz w:val="24"/>
          <w:szCs w:val="24"/>
          <w:lang w:val="en-US"/>
        </w:rPr>
      </w:pPr>
      <w:r>
        <w:rPr>
          <w:rFonts w:asciiTheme="minorBidi" w:hAnsiTheme="minorBidi"/>
          <w:sz w:val="24"/>
          <w:szCs w:val="24"/>
          <w:lang w:val="en-US"/>
        </w:rPr>
        <w:t>In contrast, parameters such as ketonuria, glucosuria, and temperature did not show significant differences between the groups, suggesting limited predictive value for neurological severity.</w:t>
      </w:r>
    </w:p>
    <w:p w14:paraId="792D92C2" w14:textId="77777777" w:rsidR="00502BB2" w:rsidRDefault="0069123E">
      <w:pPr>
        <w:ind w:firstLine="503"/>
        <w:jc w:val="both"/>
        <w:rPr>
          <w:rFonts w:asciiTheme="minorBidi" w:hAnsiTheme="minorBidi"/>
          <w:sz w:val="24"/>
          <w:szCs w:val="24"/>
          <w:lang w:val="en-US"/>
        </w:rPr>
      </w:pPr>
      <w:r>
        <w:rPr>
          <w:rFonts w:asciiTheme="minorBidi" w:hAnsiTheme="minorBidi"/>
          <w:sz w:val="24"/>
          <w:szCs w:val="24"/>
          <w:lang w:val="en-US"/>
        </w:rPr>
        <w:t>Therefore, anion gap, plasma osmolarity, pH, bicarbonate levels, and Glasgow Coma Scale appear to be the most relevant indicators for assessing the severity of diabetic ketoacidosis and early identification of patients at risk of coma.</w:t>
      </w:r>
    </w:p>
    <w:p w14:paraId="646422D2" w14:textId="77777777" w:rsidR="00502BB2" w:rsidRDefault="0069123E">
      <w:pPr>
        <w:ind w:firstLine="503"/>
        <w:jc w:val="both"/>
        <w:rPr>
          <w:rFonts w:asciiTheme="minorBidi" w:hAnsiTheme="minorBidi"/>
          <w:b/>
          <w:bCs/>
          <w:sz w:val="24"/>
          <w:szCs w:val="24"/>
          <w:lang w:val="en-US"/>
        </w:rPr>
      </w:pPr>
      <w:r>
        <w:rPr>
          <w:rFonts w:asciiTheme="minorBidi" w:hAnsiTheme="minorBidi"/>
          <w:b/>
          <w:bCs/>
          <w:sz w:val="24"/>
          <w:szCs w:val="24"/>
          <w:lang w:val="en-US"/>
        </w:rPr>
        <w:t>Keywords:</w:t>
      </w:r>
    </w:p>
    <w:p w14:paraId="7098C65A" w14:textId="77777777" w:rsidR="00502BB2" w:rsidRDefault="0069123E">
      <w:pPr>
        <w:jc w:val="both"/>
        <w:rPr>
          <w:rFonts w:asciiTheme="minorBidi" w:hAnsiTheme="minorBidi"/>
          <w:sz w:val="24"/>
          <w:szCs w:val="24"/>
          <w:lang w:val="en-US"/>
        </w:rPr>
      </w:pPr>
      <w:r>
        <w:rPr>
          <w:rFonts w:asciiTheme="minorBidi" w:hAnsiTheme="minorBidi"/>
          <w:sz w:val="24"/>
          <w:szCs w:val="24"/>
          <w:lang w:val="en-US"/>
        </w:rPr>
        <w:t>Diabetic ketoacidosis, diabetic coma, anion gap, plasma osmolarity, Glasgow Coma Scale, biomarkers, severity, intensive care</w:t>
      </w:r>
    </w:p>
    <w:p w14:paraId="2FFE5266" w14:textId="77777777" w:rsidR="00502BB2" w:rsidRDefault="00502BB2">
      <w:pPr>
        <w:rPr>
          <w:rFonts w:asciiTheme="minorBidi" w:hAnsiTheme="minorBidi"/>
          <w:b/>
          <w:bCs/>
          <w:sz w:val="24"/>
          <w:szCs w:val="24"/>
          <w:lang w:val="en-US"/>
        </w:rPr>
        <w:sectPr w:rsidR="00502BB2">
          <w:pgSz w:w="12240" w:h="15840"/>
          <w:pgMar w:top="1417" w:right="1417" w:bottom="1417" w:left="1417" w:header="720" w:footer="720" w:gutter="0"/>
          <w:cols w:space="720"/>
        </w:sectPr>
      </w:pPr>
    </w:p>
    <w:p w14:paraId="4AABD584" w14:textId="77777777" w:rsidR="00502BB2" w:rsidRDefault="0069123E">
      <w:pPr>
        <w:pStyle w:val="Heading1"/>
        <w:bidi/>
        <w:jc w:val="center"/>
        <w:rPr>
          <w:rFonts w:eastAsia="Arial"/>
          <w:b/>
          <w:bCs/>
          <w:color w:val="0D0D0D" w:themeColor="text1" w:themeTint="F2"/>
          <w:sz w:val="60"/>
          <w:szCs w:val="60"/>
        </w:rPr>
      </w:pPr>
      <w:bookmarkStart w:id="2" w:name="_Toc226577310"/>
      <w:r>
        <w:rPr>
          <w:rFonts w:eastAsia="Arial"/>
          <w:b/>
          <w:bCs/>
          <w:color w:val="0D0D0D" w:themeColor="text1" w:themeTint="F2"/>
          <w:sz w:val="60"/>
          <w:szCs w:val="60"/>
          <w:rtl/>
        </w:rPr>
        <w:lastRenderedPageBreak/>
        <w:t>التلخيص</w:t>
      </w:r>
      <w:bookmarkEnd w:id="2"/>
    </w:p>
    <w:p w14:paraId="3D2B0737" w14:textId="77777777" w:rsidR="00502BB2" w:rsidRDefault="00502BB2">
      <w:pPr>
        <w:bidi/>
      </w:pPr>
    </w:p>
    <w:p w14:paraId="36C08FCA" w14:textId="77777777" w:rsidR="00502BB2" w:rsidRDefault="0069123E">
      <w:pPr>
        <w:bidi/>
        <w:ind w:firstLine="708"/>
        <w:rPr>
          <w:sz w:val="28"/>
          <w:szCs w:val="28"/>
        </w:rPr>
      </w:pPr>
      <w:r>
        <w:rPr>
          <w:sz w:val="28"/>
          <w:szCs w:val="28"/>
          <w:rtl/>
        </w:rPr>
        <w:t>يُعد الحماض الكيتوني السكري من أخطر المضاعفات الحادة لمرض السكري، ويتميز بارتفاع مستوى السكر في الدم، وحدوث حماض استقلابي، وتراكم مفرط للأجسام الكيتونية. وقد يتطور هذا الاضطراب إلى انخفاض في مستوى الوعي أو غيبوبة، مما يجعله حالة طبية طارئة مرتبطة بنسبة مهمة من المراضة والوفيات</w:t>
      </w:r>
      <w:r>
        <w:rPr>
          <w:sz w:val="28"/>
          <w:szCs w:val="28"/>
        </w:rPr>
        <w:t>.</w:t>
      </w:r>
    </w:p>
    <w:p w14:paraId="145904D0" w14:textId="77777777" w:rsidR="00502BB2" w:rsidRDefault="0069123E">
      <w:pPr>
        <w:bidi/>
        <w:ind w:firstLine="708"/>
        <w:rPr>
          <w:sz w:val="28"/>
          <w:szCs w:val="28"/>
        </w:rPr>
      </w:pPr>
      <w:r>
        <w:rPr>
          <w:sz w:val="28"/>
          <w:szCs w:val="28"/>
          <w:rtl/>
        </w:rPr>
        <w:t>أُجريت هذه الدراسة الاسترجاعية على مستوى المركز الاستشفائي الجامعي بتلمسان، وشملت 44 مريضًا يعانون من الكيتوز السكري أو الحماض الكيتوني السكري، حيث تم توزيعهم بين مصلحة الطب الداخلي ومصلحة الإنعاش. وهدفت الدراسة إلى مقارنة المؤشرات السريرية والبيوكيميائية بين المجموعتين من أجل تحديد العلامات البيولوجية المرتبطة بشدة الحماض الكيتوني السكري وخطر حدوث الغيبوبة</w:t>
      </w:r>
      <w:r>
        <w:rPr>
          <w:sz w:val="28"/>
          <w:szCs w:val="28"/>
        </w:rPr>
        <w:t>.</w:t>
      </w:r>
    </w:p>
    <w:p w14:paraId="361A5D87" w14:textId="77777777" w:rsidR="00502BB2" w:rsidRDefault="0069123E">
      <w:pPr>
        <w:bidi/>
        <w:ind w:firstLine="708"/>
        <w:rPr>
          <w:sz w:val="28"/>
          <w:szCs w:val="28"/>
        </w:rPr>
      </w:pPr>
      <w:r>
        <w:rPr>
          <w:sz w:val="28"/>
          <w:szCs w:val="28"/>
          <w:rtl/>
        </w:rPr>
        <w:t>أظهرت النتائج أن المرضى في مصلحة الإنعاش يعانون من حماض استقلابي أشد، يتميز بارتفاع ملحوظ في الفجوة الأيونية</w:t>
      </w:r>
      <w:r>
        <w:rPr>
          <w:sz w:val="28"/>
          <w:szCs w:val="28"/>
        </w:rPr>
        <w:t xml:space="preserve"> (Anion gap) </w:t>
      </w:r>
      <w:r>
        <w:rPr>
          <w:sz w:val="28"/>
          <w:szCs w:val="28"/>
          <w:rtl/>
        </w:rPr>
        <w:t>والأسمولارية البلازمية، مما يعكس زيادة تراكم الأجسام الكيتونية وحدوث جفاف أكثر شدة. كما لوحظ انخفاض في مقياس غلاسكو للوعي لدى هذه الفئة، مما يدل على تدهور أكبر في الحالة العصبية. كما تم تسجيل اضطرابات في الشوارد مثل ارتفاع نسبي في البوتاسيوم والكلور، إضافة إلى ارتفاع المؤشرات الكلوية والكبدية، مما يعكس التأثير الجهازي للحماض الكيتوني السكري</w:t>
      </w:r>
      <w:r>
        <w:rPr>
          <w:sz w:val="28"/>
          <w:szCs w:val="28"/>
        </w:rPr>
        <w:t>.</w:t>
      </w:r>
    </w:p>
    <w:p w14:paraId="2C82E633" w14:textId="77777777" w:rsidR="00502BB2" w:rsidRDefault="0069123E">
      <w:pPr>
        <w:bidi/>
        <w:ind w:firstLine="708"/>
        <w:rPr>
          <w:sz w:val="28"/>
          <w:szCs w:val="28"/>
        </w:rPr>
      </w:pPr>
      <w:r>
        <w:rPr>
          <w:sz w:val="28"/>
          <w:szCs w:val="28"/>
          <w:rtl/>
        </w:rPr>
        <w:t>في المقابل، لم تُظهر بعض المؤشرات مثل الكيتونات في البول، وسكر البول، ودرجة الحرارة فروقًا معنوية بين المجموعتين، مما يحد من قدرتها على التنبؤ بشدة الحالة العصبية</w:t>
      </w:r>
      <w:r>
        <w:rPr>
          <w:sz w:val="28"/>
          <w:szCs w:val="28"/>
        </w:rPr>
        <w:t>.</w:t>
      </w:r>
    </w:p>
    <w:p w14:paraId="34C60A6B" w14:textId="77777777" w:rsidR="00502BB2" w:rsidRDefault="0069123E">
      <w:pPr>
        <w:bidi/>
        <w:ind w:firstLine="708"/>
        <w:rPr>
          <w:sz w:val="28"/>
          <w:szCs w:val="28"/>
        </w:rPr>
      </w:pPr>
      <w:r>
        <w:rPr>
          <w:sz w:val="28"/>
          <w:szCs w:val="28"/>
          <w:rtl/>
        </w:rPr>
        <w:t>بناءً على ذلك، تُعد الفجوة الأيونية، والأسمولارية البلازمية، ودرجة الحموضة، والبيكربونات، ومقياس غلاسكو من أهم المؤشرات لتقييم شدة الحماض الكيتوني السكري والكشف المبكر عن المرضى المعرضين لخطر الغيبوبة</w:t>
      </w:r>
      <w:r>
        <w:rPr>
          <w:sz w:val="28"/>
          <w:szCs w:val="28"/>
        </w:rPr>
        <w:t>.</w:t>
      </w:r>
    </w:p>
    <w:p w14:paraId="2C8A872F" w14:textId="77777777" w:rsidR="00502BB2" w:rsidRDefault="0069123E">
      <w:pPr>
        <w:bidi/>
        <w:ind w:firstLine="708"/>
        <w:rPr>
          <w:b/>
          <w:bCs/>
          <w:sz w:val="28"/>
          <w:szCs w:val="28"/>
        </w:rPr>
      </w:pPr>
      <w:r>
        <w:rPr>
          <w:b/>
          <w:bCs/>
          <w:sz w:val="28"/>
          <w:szCs w:val="28"/>
          <w:rtl/>
        </w:rPr>
        <w:t>الكلمات المفتاحية</w:t>
      </w:r>
      <w:r>
        <w:rPr>
          <w:b/>
          <w:bCs/>
          <w:sz w:val="28"/>
          <w:szCs w:val="28"/>
        </w:rPr>
        <w:t>:</w:t>
      </w:r>
    </w:p>
    <w:p w14:paraId="5970E785" w14:textId="77777777" w:rsidR="00502BB2" w:rsidRDefault="0069123E">
      <w:pPr>
        <w:bidi/>
        <w:rPr>
          <w:sz w:val="28"/>
          <w:szCs w:val="28"/>
        </w:rPr>
      </w:pPr>
      <w:r>
        <w:rPr>
          <w:sz w:val="28"/>
          <w:szCs w:val="28"/>
          <w:rtl/>
        </w:rPr>
        <w:t>الحماض الكيتوني السكري، غيبوبة السكري، الفجوة الأيونية، الأسمولارية البلازمية، مقياس غلاسكو، المؤشرات الحيوية، شدة المرض، الإنعاش</w:t>
      </w:r>
      <w:r>
        <w:rPr>
          <w:sz w:val="28"/>
          <w:szCs w:val="28"/>
        </w:rPr>
        <w:t>.</w:t>
      </w:r>
    </w:p>
    <w:p w14:paraId="5B6EC42A" w14:textId="77777777" w:rsidR="00502BB2" w:rsidRDefault="00502BB2">
      <w:pPr>
        <w:bidi/>
        <w:rPr>
          <w:rtl/>
        </w:rPr>
        <w:sectPr w:rsidR="00502BB2">
          <w:pgSz w:w="12240" w:h="15840"/>
          <w:pgMar w:top="1417" w:right="1417" w:bottom="1417" w:left="1417" w:header="720" w:footer="720" w:gutter="0"/>
          <w:cols w:space="720"/>
        </w:sectPr>
      </w:pPr>
    </w:p>
    <w:p w14:paraId="436859D9" w14:textId="77777777" w:rsidR="00502BB2" w:rsidRDefault="0069123E">
      <w:pPr>
        <w:pStyle w:val="Heading2"/>
        <w:spacing w:after="65"/>
        <w:ind w:left="513" w:right="504"/>
        <w:jc w:val="center"/>
      </w:pPr>
      <w:bookmarkStart w:id="3" w:name="_Toc226577311"/>
      <w:r>
        <w:rPr>
          <w:rFonts w:ascii="Tw Cen MT" w:eastAsia="Tw Cen MT" w:hAnsi="Tw Cen MT" w:cs="Tw Cen MT"/>
          <w:i/>
          <w:color w:val="000000"/>
          <w:sz w:val="48"/>
        </w:rPr>
        <w:lastRenderedPageBreak/>
        <w:t>Liste de figures</w:t>
      </w:r>
      <w:bookmarkEnd w:id="3"/>
      <w:r>
        <w:rPr>
          <w:rFonts w:ascii="Arial" w:eastAsia="Arial" w:hAnsi="Arial" w:cs="Arial"/>
          <w:color w:val="000000"/>
          <w:sz w:val="24"/>
        </w:rPr>
        <w:t xml:space="preserve"> </w:t>
      </w:r>
    </w:p>
    <w:p w14:paraId="154BA477" w14:textId="77777777" w:rsidR="00502BB2" w:rsidRDefault="00502BB2">
      <w:pPr>
        <w:rPr>
          <w:rFonts w:asciiTheme="minorBidi" w:hAnsiTheme="minorBidi"/>
          <w:b/>
          <w:bCs/>
          <w:sz w:val="24"/>
          <w:szCs w:val="24"/>
        </w:rPr>
      </w:pPr>
    </w:p>
    <w:p w14:paraId="11F1196A" w14:textId="0F40AE82" w:rsidR="00502BB2" w:rsidRDefault="0069123E">
      <w:pPr>
        <w:pStyle w:val="TableofFigures"/>
        <w:tabs>
          <w:tab w:val="right" w:leader="underscore" w:pos="9396"/>
        </w:tabs>
        <w:rPr>
          <w:rFonts w:eastAsiaTheme="minorEastAsia" w:cstheme="minorBidi"/>
          <w:i w:val="0"/>
          <w:iCs w:val="0"/>
          <w:sz w:val="24"/>
          <w:lang w:eastAsia="fr-FR"/>
        </w:rPr>
      </w:pPr>
      <w:r>
        <w:rPr>
          <w:rFonts w:asciiTheme="minorBidi" w:hAnsiTheme="minorBidi"/>
          <w:b/>
          <w:bCs/>
          <w:sz w:val="24"/>
          <w:rtl/>
        </w:rPr>
        <w:fldChar w:fldCharType="begin"/>
      </w:r>
      <w:r>
        <w:rPr>
          <w:rFonts w:asciiTheme="minorBidi" w:hAnsiTheme="minorBidi"/>
          <w:b/>
          <w:bCs/>
          <w:sz w:val="24"/>
          <w:rtl/>
        </w:rPr>
        <w:instrText xml:space="preserve"> </w:instrText>
      </w:r>
      <w:r>
        <w:rPr>
          <w:rFonts w:asciiTheme="minorBidi" w:hAnsiTheme="minorBidi"/>
          <w:b/>
          <w:bCs/>
          <w:sz w:val="24"/>
        </w:rPr>
        <w:instrText>TOC</w:instrText>
      </w:r>
      <w:r>
        <w:rPr>
          <w:rFonts w:asciiTheme="minorBidi" w:hAnsiTheme="minorBidi"/>
          <w:b/>
          <w:bCs/>
          <w:sz w:val="24"/>
          <w:rtl/>
        </w:rPr>
        <w:instrText xml:space="preserve"> \</w:instrText>
      </w:r>
      <w:r>
        <w:rPr>
          <w:rFonts w:asciiTheme="minorBidi" w:hAnsiTheme="minorBidi"/>
          <w:b/>
          <w:bCs/>
          <w:sz w:val="24"/>
        </w:rPr>
        <w:instrText>h \z \c "Figure</w:instrText>
      </w:r>
      <w:r>
        <w:rPr>
          <w:rFonts w:asciiTheme="minorBidi" w:hAnsiTheme="minorBidi"/>
          <w:b/>
          <w:bCs/>
          <w:sz w:val="24"/>
          <w:rtl/>
        </w:rPr>
        <w:instrText xml:space="preserve">" </w:instrText>
      </w:r>
      <w:r>
        <w:rPr>
          <w:rFonts w:asciiTheme="minorBidi" w:hAnsiTheme="minorBidi"/>
          <w:b/>
          <w:bCs/>
          <w:sz w:val="24"/>
          <w:rtl/>
        </w:rPr>
        <w:fldChar w:fldCharType="separate"/>
      </w:r>
      <w:hyperlink w:anchor="_Toc225723005" w:history="1">
        <w:r w:rsidR="00502BB2">
          <w:rPr>
            <w:rStyle w:val="Hyperlink"/>
            <w:rFonts w:asciiTheme="minorBidi" w:hAnsiTheme="minorBidi"/>
            <w:b/>
            <w:bCs/>
          </w:rPr>
          <w:t>Figure 1</w:t>
        </w:r>
        <w:r w:rsidR="00502BB2">
          <w:rPr>
            <w:rStyle w:val="Hyperlink"/>
          </w:rPr>
          <w:t xml:space="preserve"> : </w:t>
        </w:r>
        <w:r w:rsidR="00502BB2">
          <w:rPr>
            <w:rStyle w:val="Hyperlink"/>
            <w:rFonts w:asciiTheme="minorBidi" w:hAnsiTheme="minorBidi"/>
          </w:rPr>
          <w:t>Figure des compartiments essentiels dans le maintien de l’éveil.</w:t>
        </w:r>
        <w:r w:rsidR="00502BB2">
          <w:rPr>
            <w:rStyle w:val="Hyperlink"/>
            <w:rFonts w:asciiTheme="minorBidi" w:hAnsiTheme="minorBidi"/>
            <w:b/>
            <w:bCs/>
          </w:rPr>
          <w:t xml:space="preserve"> (Mathur, 2021)</w:t>
        </w:r>
        <w:r w:rsidR="00502BB2">
          <w:tab/>
        </w:r>
        <w:r w:rsidR="00502BB2">
          <w:fldChar w:fldCharType="begin"/>
        </w:r>
        <w:r w:rsidR="00502BB2">
          <w:instrText xml:space="preserve"> PAGEREF _Toc225723005 \h </w:instrText>
        </w:r>
        <w:r w:rsidR="00502BB2">
          <w:fldChar w:fldCharType="separate"/>
        </w:r>
        <w:r w:rsidR="003462B7">
          <w:rPr>
            <w:noProof/>
          </w:rPr>
          <w:t>4</w:t>
        </w:r>
        <w:r w:rsidR="00502BB2">
          <w:fldChar w:fldCharType="end"/>
        </w:r>
      </w:hyperlink>
    </w:p>
    <w:p w14:paraId="6968A31D" w14:textId="00B9D823" w:rsidR="00502BB2" w:rsidRDefault="00502BB2">
      <w:pPr>
        <w:pStyle w:val="TableofFigures"/>
        <w:tabs>
          <w:tab w:val="right" w:leader="underscore" w:pos="9396"/>
        </w:tabs>
        <w:rPr>
          <w:rFonts w:eastAsiaTheme="minorEastAsia" w:cstheme="minorBidi"/>
          <w:i w:val="0"/>
          <w:iCs w:val="0"/>
          <w:sz w:val="24"/>
          <w:lang w:eastAsia="fr-FR"/>
        </w:rPr>
      </w:pPr>
      <w:hyperlink w:anchor="_Toc225723006" w:history="1">
        <w:r>
          <w:rPr>
            <w:rStyle w:val="Hyperlink"/>
            <w:rFonts w:asciiTheme="minorBidi" w:hAnsiTheme="minorBidi"/>
            <w:b/>
            <w:bCs/>
          </w:rPr>
          <w:t>Figure 2 :</w:t>
        </w:r>
        <w:r>
          <w:rPr>
            <w:rStyle w:val="Hyperlink"/>
            <w:rFonts w:asciiTheme="minorBidi" w:hAnsiTheme="minorBidi"/>
          </w:rPr>
          <w:t xml:space="preserve"> Figure d’interconnexion des réseaux cortico-corticaux et fronto-pariétaux.</w:t>
        </w:r>
        <w:r>
          <w:rPr>
            <w:rStyle w:val="Hyperlink"/>
            <w:rFonts w:asciiTheme="minorBidi" w:hAnsiTheme="minorBidi"/>
            <w:b/>
            <w:bCs/>
          </w:rPr>
          <w:t xml:space="preserve"> (Kondziella, 2023).</w:t>
        </w:r>
        <w:r>
          <w:tab/>
        </w:r>
        <w:r>
          <w:fldChar w:fldCharType="begin"/>
        </w:r>
        <w:r>
          <w:instrText xml:space="preserve"> PAGEREF _Toc225723006 \h </w:instrText>
        </w:r>
        <w:r>
          <w:fldChar w:fldCharType="separate"/>
        </w:r>
        <w:r w:rsidR="003462B7">
          <w:rPr>
            <w:noProof/>
          </w:rPr>
          <w:t>5</w:t>
        </w:r>
        <w:r>
          <w:fldChar w:fldCharType="end"/>
        </w:r>
      </w:hyperlink>
    </w:p>
    <w:p w14:paraId="6E4684CC" w14:textId="0AA25790" w:rsidR="00502BB2" w:rsidRDefault="00502BB2">
      <w:pPr>
        <w:pStyle w:val="TableofFigures"/>
        <w:tabs>
          <w:tab w:val="right" w:leader="underscore" w:pos="9396"/>
        </w:tabs>
        <w:rPr>
          <w:rFonts w:eastAsiaTheme="minorEastAsia" w:cstheme="minorBidi"/>
          <w:i w:val="0"/>
          <w:iCs w:val="0"/>
          <w:sz w:val="24"/>
          <w:lang w:eastAsia="fr-FR"/>
        </w:rPr>
      </w:pPr>
      <w:hyperlink w:anchor="_Toc225723007" w:history="1">
        <w:r>
          <w:rPr>
            <w:rStyle w:val="Hyperlink"/>
            <w:rFonts w:asciiTheme="minorBidi" w:hAnsiTheme="minorBidi"/>
            <w:b/>
            <w:bCs/>
          </w:rPr>
          <w:t>Figure 3</w:t>
        </w:r>
        <w:r>
          <w:rPr>
            <w:rStyle w:val="Hyperlink"/>
          </w:rPr>
          <w:t xml:space="preserve"> : </w:t>
        </w:r>
        <w:r>
          <w:rPr>
            <w:rStyle w:val="Hyperlink"/>
            <w:rFonts w:asciiTheme="minorBidi" w:hAnsiTheme="minorBidi"/>
          </w:rPr>
          <w:t>Figure sur la signalisation gabaergique</w:t>
        </w:r>
        <w:r>
          <w:rPr>
            <w:rStyle w:val="Hyperlink"/>
            <w:rFonts w:asciiTheme="minorBidi" w:hAnsiTheme="minorBidi"/>
            <w:b/>
            <w:bCs/>
          </w:rPr>
          <w:t xml:space="preserve"> (Park, 2025)</w:t>
        </w:r>
        <w:r>
          <w:tab/>
        </w:r>
        <w:r>
          <w:fldChar w:fldCharType="begin"/>
        </w:r>
        <w:r>
          <w:instrText xml:space="preserve"> PAGEREF _Toc225723007 \h </w:instrText>
        </w:r>
        <w:r>
          <w:fldChar w:fldCharType="separate"/>
        </w:r>
        <w:r w:rsidR="003462B7">
          <w:rPr>
            <w:noProof/>
          </w:rPr>
          <w:t>6</w:t>
        </w:r>
        <w:r>
          <w:fldChar w:fldCharType="end"/>
        </w:r>
      </w:hyperlink>
    </w:p>
    <w:p w14:paraId="22616A37" w14:textId="286481DE" w:rsidR="00502BB2" w:rsidRDefault="00502BB2">
      <w:pPr>
        <w:pStyle w:val="TableofFigures"/>
        <w:tabs>
          <w:tab w:val="right" w:leader="underscore" w:pos="9396"/>
        </w:tabs>
        <w:rPr>
          <w:rFonts w:eastAsiaTheme="minorEastAsia" w:cstheme="minorBidi"/>
          <w:i w:val="0"/>
          <w:iCs w:val="0"/>
          <w:sz w:val="24"/>
          <w:lang w:eastAsia="fr-FR"/>
        </w:rPr>
      </w:pPr>
      <w:hyperlink w:anchor="_Toc225723008" w:history="1">
        <w:r>
          <w:rPr>
            <w:rStyle w:val="Hyperlink"/>
            <w:rFonts w:asciiTheme="minorBidi" w:hAnsiTheme="minorBidi"/>
            <w:b/>
            <w:bCs/>
          </w:rPr>
          <w:t>Figure 4</w:t>
        </w:r>
        <w:r>
          <w:rPr>
            <w:rStyle w:val="Hyperlink"/>
          </w:rPr>
          <w:t> </w:t>
        </w:r>
        <w:r>
          <w:rPr>
            <w:rStyle w:val="Hyperlink"/>
            <w:rFonts w:asciiTheme="minorBidi" w:hAnsiTheme="minorBidi"/>
          </w:rPr>
          <w:t xml:space="preserve">: Figure des critères du suivi ABCD  </w:t>
        </w:r>
        <w:r>
          <w:rPr>
            <w:rStyle w:val="Hyperlink"/>
            <w:rFonts w:asciiTheme="minorBidi" w:hAnsiTheme="minorBidi"/>
            <w:b/>
            <w:bCs/>
          </w:rPr>
          <w:t>(Ching, 2017)</w:t>
        </w:r>
        <w:r>
          <w:tab/>
        </w:r>
        <w:r>
          <w:fldChar w:fldCharType="begin"/>
        </w:r>
        <w:r>
          <w:instrText xml:space="preserve"> PAGEREF _Toc225723008 \h </w:instrText>
        </w:r>
        <w:r>
          <w:fldChar w:fldCharType="separate"/>
        </w:r>
        <w:r w:rsidR="003462B7">
          <w:rPr>
            <w:noProof/>
          </w:rPr>
          <w:t>11</w:t>
        </w:r>
        <w:r>
          <w:fldChar w:fldCharType="end"/>
        </w:r>
      </w:hyperlink>
    </w:p>
    <w:p w14:paraId="0E348D3C" w14:textId="7C35BF2F" w:rsidR="00502BB2" w:rsidRDefault="00502BB2">
      <w:pPr>
        <w:pStyle w:val="TableofFigures"/>
        <w:tabs>
          <w:tab w:val="right" w:leader="underscore" w:pos="9396"/>
        </w:tabs>
        <w:rPr>
          <w:rFonts w:eastAsiaTheme="minorEastAsia" w:cstheme="minorBidi"/>
          <w:i w:val="0"/>
          <w:iCs w:val="0"/>
          <w:sz w:val="24"/>
          <w:lang w:eastAsia="fr-FR"/>
        </w:rPr>
      </w:pPr>
      <w:hyperlink w:anchor="_Toc225723009" w:history="1">
        <w:r>
          <w:rPr>
            <w:rStyle w:val="Hyperlink"/>
            <w:rFonts w:asciiTheme="minorBidi" w:hAnsiTheme="minorBidi"/>
            <w:b/>
            <w:bCs/>
          </w:rPr>
          <w:t xml:space="preserve">Figure 5 : </w:t>
        </w:r>
        <w:r>
          <w:rPr>
            <w:rStyle w:val="Hyperlink"/>
            <w:rFonts w:asciiTheme="minorBidi" w:hAnsiTheme="minorBidi"/>
          </w:rPr>
          <w:t>Figure du désordre neurologique démontré par MRI er EEG.</w:t>
        </w:r>
        <w:r>
          <w:rPr>
            <w:rStyle w:val="Hyperlink"/>
            <w:rFonts w:asciiTheme="minorBidi" w:hAnsiTheme="minorBidi"/>
            <w:b/>
            <w:bCs/>
          </w:rPr>
          <w:t xml:space="preserve"> (Kondziella, 2023)</w:t>
        </w:r>
        <w:r>
          <w:tab/>
        </w:r>
        <w:r>
          <w:fldChar w:fldCharType="begin"/>
        </w:r>
        <w:r>
          <w:instrText xml:space="preserve"> PAGEREF _Toc225723009 \h </w:instrText>
        </w:r>
        <w:r>
          <w:fldChar w:fldCharType="separate"/>
        </w:r>
        <w:r w:rsidR="003462B7">
          <w:rPr>
            <w:noProof/>
          </w:rPr>
          <w:t>14</w:t>
        </w:r>
        <w:r>
          <w:fldChar w:fldCharType="end"/>
        </w:r>
      </w:hyperlink>
    </w:p>
    <w:p w14:paraId="111AF4B1" w14:textId="1DB94841" w:rsidR="00502BB2" w:rsidRDefault="00502BB2">
      <w:pPr>
        <w:pStyle w:val="TableofFigures"/>
        <w:tabs>
          <w:tab w:val="right" w:leader="underscore" w:pos="9396"/>
        </w:tabs>
        <w:rPr>
          <w:rFonts w:eastAsiaTheme="minorEastAsia" w:cstheme="minorBidi"/>
          <w:i w:val="0"/>
          <w:iCs w:val="0"/>
          <w:sz w:val="24"/>
          <w:lang w:eastAsia="fr-FR"/>
        </w:rPr>
      </w:pPr>
      <w:hyperlink w:anchor="_Toc225723010" w:history="1">
        <w:r>
          <w:rPr>
            <w:rStyle w:val="Hyperlink"/>
            <w:b/>
            <w:bCs/>
          </w:rPr>
          <w:t>Figure 6</w:t>
        </w:r>
        <w:r>
          <w:rPr>
            <w:rStyle w:val="Hyperlink"/>
          </w:rPr>
          <w:t xml:space="preserve">: Figure des critères de DKA et HSS. </w:t>
        </w:r>
        <w:r>
          <w:rPr>
            <w:rStyle w:val="Hyperlink"/>
            <w:rFonts w:asciiTheme="minorBidi" w:hAnsiTheme="minorBidi"/>
            <w:b/>
            <w:bCs/>
          </w:rPr>
          <w:t xml:space="preserve"> (Abady, 2025)</w:t>
        </w:r>
        <w:r>
          <w:tab/>
        </w:r>
        <w:r>
          <w:fldChar w:fldCharType="begin"/>
        </w:r>
        <w:r>
          <w:instrText xml:space="preserve"> PAGEREF _Toc225723010 \h </w:instrText>
        </w:r>
        <w:r>
          <w:fldChar w:fldCharType="separate"/>
        </w:r>
        <w:r w:rsidR="003462B7">
          <w:rPr>
            <w:noProof/>
          </w:rPr>
          <w:t>15</w:t>
        </w:r>
        <w:r>
          <w:fldChar w:fldCharType="end"/>
        </w:r>
      </w:hyperlink>
    </w:p>
    <w:p w14:paraId="5229DF20" w14:textId="1FB8B7DE" w:rsidR="00502BB2" w:rsidRDefault="00502BB2">
      <w:pPr>
        <w:pStyle w:val="TableofFigures"/>
        <w:tabs>
          <w:tab w:val="right" w:leader="underscore" w:pos="9396"/>
        </w:tabs>
        <w:rPr>
          <w:rFonts w:eastAsiaTheme="minorEastAsia" w:cstheme="minorBidi"/>
          <w:i w:val="0"/>
          <w:iCs w:val="0"/>
          <w:sz w:val="24"/>
          <w:lang w:eastAsia="fr-FR"/>
        </w:rPr>
      </w:pPr>
      <w:hyperlink w:anchor="_Toc225723011" w:history="1">
        <w:r>
          <w:rPr>
            <w:rStyle w:val="Hyperlink"/>
            <w:b/>
            <w:bCs/>
          </w:rPr>
          <w:t xml:space="preserve">Figure 7 : </w:t>
        </w:r>
        <w:r>
          <w:rPr>
            <w:rStyle w:val="Hyperlink"/>
          </w:rPr>
          <w:t>Figure du mécanisme de productions de l’hyperglycémie en DKA.</w:t>
        </w:r>
        <w:r>
          <w:rPr>
            <w:rStyle w:val="Hyperlink"/>
            <w:rFonts w:asciiTheme="minorBidi" w:hAnsiTheme="minorBidi"/>
            <w:b/>
            <w:bCs/>
          </w:rPr>
          <w:t xml:space="preserve"> (Daina MD, 2026)</w:t>
        </w:r>
        <w:r>
          <w:tab/>
        </w:r>
        <w:r>
          <w:fldChar w:fldCharType="begin"/>
        </w:r>
        <w:r>
          <w:instrText xml:space="preserve"> PAGEREF _Toc225723011 \h </w:instrText>
        </w:r>
        <w:r>
          <w:fldChar w:fldCharType="separate"/>
        </w:r>
        <w:r w:rsidR="003462B7">
          <w:rPr>
            <w:noProof/>
          </w:rPr>
          <w:t>16</w:t>
        </w:r>
        <w:r>
          <w:fldChar w:fldCharType="end"/>
        </w:r>
      </w:hyperlink>
    </w:p>
    <w:p w14:paraId="2B61AAA3" w14:textId="1DD702E0" w:rsidR="00502BB2" w:rsidRDefault="00502BB2">
      <w:pPr>
        <w:pStyle w:val="TableofFigures"/>
        <w:tabs>
          <w:tab w:val="right" w:leader="underscore" w:pos="9396"/>
        </w:tabs>
        <w:rPr>
          <w:rFonts w:eastAsiaTheme="minorEastAsia" w:cstheme="minorBidi"/>
          <w:i w:val="0"/>
          <w:iCs w:val="0"/>
          <w:sz w:val="24"/>
          <w:lang w:eastAsia="fr-FR"/>
        </w:rPr>
      </w:pPr>
      <w:hyperlink w:anchor="_Toc225723012" w:history="1">
        <w:r>
          <w:rPr>
            <w:rStyle w:val="Hyperlink"/>
            <w:b/>
            <w:bCs/>
          </w:rPr>
          <w:t>Figure 8:</w:t>
        </w:r>
        <w:r>
          <w:rPr>
            <w:rStyle w:val="Hyperlink"/>
          </w:rPr>
          <w:t xml:space="preserve"> Figure de la signalisation de la vasopressine </w:t>
        </w:r>
        <w:r>
          <w:rPr>
            <w:rStyle w:val="Hyperlink"/>
            <w:rFonts w:asciiTheme="minorBidi" w:hAnsiTheme="minorBidi"/>
            <w:b/>
            <w:bCs/>
          </w:rPr>
          <w:t>(Tamargo, 2009)</w:t>
        </w:r>
        <w:r>
          <w:tab/>
        </w:r>
        <w:r>
          <w:fldChar w:fldCharType="begin"/>
        </w:r>
        <w:r>
          <w:instrText xml:space="preserve"> PAGEREF _Toc225723012 \h </w:instrText>
        </w:r>
        <w:r>
          <w:fldChar w:fldCharType="separate"/>
        </w:r>
        <w:r w:rsidR="003462B7">
          <w:rPr>
            <w:noProof/>
          </w:rPr>
          <w:t>17</w:t>
        </w:r>
        <w:r>
          <w:fldChar w:fldCharType="end"/>
        </w:r>
      </w:hyperlink>
    </w:p>
    <w:p w14:paraId="5CDC0B27" w14:textId="0601ED76" w:rsidR="00502BB2" w:rsidRDefault="00502BB2">
      <w:pPr>
        <w:pStyle w:val="TableofFigures"/>
        <w:tabs>
          <w:tab w:val="right" w:leader="underscore" w:pos="9396"/>
        </w:tabs>
        <w:rPr>
          <w:rFonts w:eastAsiaTheme="minorEastAsia" w:cstheme="minorBidi"/>
          <w:i w:val="0"/>
          <w:iCs w:val="0"/>
          <w:sz w:val="24"/>
          <w:lang w:eastAsia="fr-FR"/>
        </w:rPr>
      </w:pPr>
      <w:hyperlink w:anchor="_Toc225723013" w:history="1">
        <w:r>
          <w:rPr>
            <w:rStyle w:val="Hyperlink"/>
            <w:b/>
            <w:bCs/>
          </w:rPr>
          <w:t>Figure 9:</w:t>
        </w:r>
        <w:r>
          <w:rPr>
            <w:rStyle w:val="Hyperlink"/>
          </w:rPr>
          <w:t xml:space="preserve"> Figure sur le stress oxydatif dans DKA </w:t>
        </w:r>
        <w:r>
          <w:rPr>
            <w:rStyle w:val="Hyperlink"/>
            <w:rFonts w:asciiTheme="minorBidi" w:hAnsiTheme="minorBidi"/>
            <w:b/>
            <w:bCs/>
          </w:rPr>
          <w:t>(Fève, 2008)</w:t>
        </w:r>
        <w:r>
          <w:tab/>
        </w:r>
        <w:r>
          <w:fldChar w:fldCharType="begin"/>
        </w:r>
        <w:r>
          <w:instrText xml:space="preserve"> PAGEREF _Toc225723013 \h </w:instrText>
        </w:r>
        <w:r>
          <w:fldChar w:fldCharType="separate"/>
        </w:r>
        <w:r w:rsidR="003462B7">
          <w:rPr>
            <w:noProof/>
          </w:rPr>
          <w:t>18</w:t>
        </w:r>
        <w:r>
          <w:fldChar w:fldCharType="end"/>
        </w:r>
      </w:hyperlink>
    </w:p>
    <w:p w14:paraId="00A4AC24" w14:textId="6C00E999" w:rsidR="00502BB2" w:rsidRDefault="00502BB2">
      <w:pPr>
        <w:pStyle w:val="TableofFigures"/>
        <w:tabs>
          <w:tab w:val="right" w:leader="underscore" w:pos="9396"/>
        </w:tabs>
        <w:rPr>
          <w:rFonts w:eastAsiaTheme="minorEastAsia" w:cstheme="minorBidi"/>
          <w:i w:val="0"/>
          <w:iCs w:val="0"/>
          <w:sz w:val="24"/>
          <w:lang w:eastAsia="fr-FR"/>
        </w:rPr>
      </w:pPr>
      <w:hyperlink w:anchor="_Toc225723014" w:history="1">
        <w:r>
          <w:rPr>
            <w:rStyle w:val="Hyperlink"/>
            <w:b/>
            <w:bCs/>
          </w:rPr>
          <w:t>Figure 10 :</w:t>
        </w:r>
        <w:r>
          <w:rPr>
            <w:rStyle w:val="Hyperlink"/>
          </w:rPr>
          <w:t xml:space="preserve"> Figure sur la physiopathologie du DKA.</w:t>
        </w:r>
        <w:r>
          <w:rPr>
            <w:rStyle w:val="Hyperlink"/>
            <w:rFonts w:asciiTheme="minorBidi" w:hAnsiTheme="minorBidi"/>
            <w:b/>
            <w:bCs/>
          </w:rPr>
          <w:t xml:space="preserve"> (Umpierrez GE, 2024)</w:t>
        </w:r>
        <w:r>
          <w:tab/>
        </w:r>
        <w:r>
          <w:fldChar w:fldCharType="begin"/>
        </w:r>
        <w:r>
          <w:instrText xml:space="preserve"> PAGEREF _Toc225723014 \h </w:instrText>
        </w:r>
        <w:r>
          <w:fldChar w:fldCharType="separate"/>
        </w:r>
        <w:r w:rsidR="003462B7">
          <w:rPr>
            <w:noProof/>
          </w:rPr>
          <w:t>19</w:t>
        </w:r>
        <w:r>
          <w:fldChar w:fldCharType="end"/>
        </w:r>
      </w:hyperlink>
    </w:p>
    <w:p w14:paraId="486C93CE" w14:textId="1A86ED30" w:rsidR="00502BB2" w:rsidRDefault="00502BB2">
      <w:pPr>
        <w:pStyle w:val="TableofFigures"/>
        <w:tabs>
          <w:tab w:val="right" w:leader="underscore" w:pos="9396"/>
        </w:tabs>
        <w:rPr>
          <w:rFonts w:eastAsiaTheme="minorEastAsia" w:cstheme="minorBidi"/>
          <w:i w:val="0"/>
          <w:iCs w:val="0"/>
          <w:sz w:val="24"/>
          <w:lang w:eastAsia="fr-FR"/>
        </w:rPr>
      </w:pPr>
      <w:hyperlink w:anchor="_Toc225723015" w:history="1">
        <w:r>
          <w:rPr>
            <w:rStyle w:val="Hyperlink"/>
            <w:rFonts w:asciiTheme="minorBidi" w:hAnsiTheme="minorBidi"/>
            <w:b/>
            <w:bCs/>
          </w:rPr>
          <w:t>Figure 11</w:t>
        </w:r>
        <w:r>
          <w:rPr>
            <w:rStyle w:val="Hyperlink"/>
            <w:rFonts w:asciiTheme="minorBidi" w:hAnsiTheme="minorBidi"/>
          </w:rPr>
          <w:t xml:space="preserve"> : Figure des Traitements et managements de DKA</w:t>
        </w:r>
        <w:r>
          <w:rPr>
            <w:rStyle w:val="Hyperlink"/>
          </w:rPr>
          <w:t xml:space="preserve">. </w:t>
        </w:r>
        <w:r>
          <w:rPr>
            <w:rStyle w:val="Hyperlink"/>
            <w:rFonts w:asciiTheme="minorBidi" w:hAnsiTheme="minorBidi"/>
            <w:b/>
            <w:bCs/>
          </w:rPr>
          <w:t>(Umpierrez GE, 2024)</w:t>
        </w:r>
        <w:r>
          <w:tab/>
        </w:r>
        <w:r>
          <w:fldChar w:fldCharType="begin"/>
        </w:r>
        <w:r>
          <w:instrText xml:space="preserve"> PAGEREF _Toc225723015 \h </w:instrText>
        </w:r>
        <w:r>
          <w:fldChar w:fldCharType="separate"/>
        </w:r>
        <w:r w:rsidR="003462B7">
          <w:rPr>
            <w:noProof/>
          </w:rPr>
          <w:t>23</w:t>
        </w:r>
        <w:r>
          <w:fldChar w:fldCharType="end"/>
        </w:r>
      </w:hyperlink>
    </w:p>
    <w:p w14:paraId="086F1E8E" w14:textId="2B303467" w:rsidR="00502BB2" w:rsidRDefault="00502BB2">
      <w:pPr>
        <w:pStyle w:val="TableofFigures"/>
        <w:tabs>
          <w:tab w:val="right" w:leader="underscore" w:pos="9396"/>
        </w:tabs>
        <w:rPr>
          <w:rFonts w:eastAsiaTheme="minorEastAsia" w:cstheme="minorBidi"/>
          <w:i w:val="0"/>
          <w:iCs w:val="0"/>
          <w:sz w:val="24"/>
          <w:lang w:eastAsia="fr-FR"/>
        </w:rPr>
      </w:pPr>
      <w:hyperlink w:anchor="_Toc225723016" w:history="1">
        <w:r>
          <w:rPr>
            <w:rStyle w:val="Hyperlink"/>
            <w:rFonts w:asciiTheme="minorBidi" w:hAnsiTheme="minorBidi"/>
            <w:b/>
            <w:bCs/>
          </w:rPr>
          <w:t>Figure 12</w:t>
        </w:r>
        <w:r>
          <w:rPr>
            <w:rStyle w:val="Hyperlink"/>
            <w:rFonts w:asciiTheme="minorBidi" w:hAnsiTheme="minorBidi"/>
          </w:rPr>
          <w:t xml:space="preserve"> : Figure sur le Shuttle astrocyte-neurone lactate</w:t>
        </w:r>
        <w:r>
          <w:rPr>
            <w:rStyle w:val="Hyperlink"/>
          </w:rPr>
          <w:t>.</w:t>
        </w:r>
        <w:r>
          <w:rPr>
            <w:rStyle w:val="Hyperlink"/>
            <w:rFonts w:asciiTheme="minorBidi" w:hAnsiTheme="minorBidi"/>
            <w:b/>
            <w:bCs/>
          </w:rPr>
          <w:t xml:space="preserve"> (Bordone, 2019)</w:t>
        </w:r>
        <w:r>
          <w:tab/>
        </w:r>
        <w:r>
          <w:fldChar w:fldCharType="begin"/>
        </w:r>
        <w:r>
          <w:instrText xml:space="preserve"> PAGEREF _Toc225723016 \h </w:instrText>
        </w:r>
        <w:r>
          <w:fldChar w:fldCharType="separate"/>
        </w:r>
        <w:r w:rsidR="003462B7">
          <w:rPr>
            <w:noProof/>
          </w:rPr>
          <w:t>24</w:t>
        </w:r>
        <w:r>
          <w:fldChar w:fldCharType="end"/>
        </w:r>
      </w:hyperlink>
    </w:p>
    <w:p w14:paraId="29F3EEED" w14:textId="707065AA" w:rsidR="00502BB2" w:rsidRDefault="00502BB2">
      <w:pPr>
        <w:pStyle w:val="TableofFigures"/>
        <w:tabs>
          <w:tab w:val="right" w:leader="underscore" w:pos="9396"/>
        </w:tabs>
        <w:rPr>
          <w:rFonts w:eastAsiaTheme="minorEastAsia" w:cstheme="minorBidi"/>
          <w:i w:val="0"/>
          <w:iCs w:val="0"/>
          <w:sz w:val="24"/>
          <w:lang w:eastAsia="fr-FR"/>
        </w:rPr>
      </w:pPr>
      <w:hyperlink w:anchor="_Toc225723017" w:history="1">
        <w:r>
          <w:rPr>
            <w:rStyle w:val="Hyperlink"/>
            <w:rFonts w:asciiTheme="minorBidi" w:hAnsiTheme="minorBidi"/>
            <w:b/>
            <w:bCs/>
          </w:rPr>
          <w:t>Figure 13</w:t>
        </w:r>
        <w:r>
          <w:rPr>
            <w:rStyle w:val="Hyperlink"/>
            <w:rFonts w:asciiTheme="minorBidi" w:hAnsiTheme="minorBidi"/>
          </w:rPr>
          <w:t xml:space="preserve"> : Figure des différentes voies énergétiques dans le cerveau.</w:t>
        </w:r>
        <w:r>
          <w:rPr>
            <w:rStyle w:val="Hyperlink"/>
          </w:rPr>
          <w:t xml:space="preserve"> </w:t>
        </w:r>
        <w:r>
          <w:rPr>
            <w:rStyle w:val="Hyperlink"/>
            <w:rFonts w:asciiTheme="minorBidi" w:hAnsiTheme="minorBidi"/>
            <w:b/>
            <w:bCs/>
          </w:rPr>
          <w:t xml:space="preserve"> (Dienel, 2019)</w:t>
        </w:r>
        <w:r>
          <w:tab/>
        </w:r>
        <w:r>
          <w:fldChar w:fldCharType="begin"/>
        </w:r>
        <w:r>
          <w:instrText xml:space="preserve"> PAGEREF _Toc225723017 \h </w:instrText>
        </w:r>
        <w:r>
          <w:fldChar w:fldCharType="separate"/>
        </w:r>
        <w:r w:rsidR="003462B7">
          <w:rPr>
            <w:noProof/>
          </w:rPr>
          <w:t>25</w:t>
        </w:r>
        <w:r>
          <w:fldChar w:fldCharType="end"/>
        </w:r>
      </w:hyperlink>
    </w:p>
    <w:p w14:paraId="0E21BC90" w14:textId="4C92E9DF" w:rsidR="00502BB2" w:rsidRDefault="00502BB2">
      <w:pPr>
        <w:pStyle w:val="TableofFigures"/>
        <w:tabs>
          <w:tab w:val="right" w:leader="underscore" w:pos="9396"/>
        </w:tabs>
        <w:rPr>
          <w:rFonts w:eastAsiaTheme="minorEastAsia" w:cstheme="minorBidi"/>
          <w:i w:val="0"/>
          <w:iCs w:val="0"/>
          <w:sz w:val="24"/>
          <w:lang w:eastAsia="fr-FR"/>
        </w:rPr>
      </w:pPr>
      <w:hyperlink w:anchor="_Toc225723018" w:history="1">
        <w:r>
          <w:rPr>
            <w:rStyle w:val="Hyperlink"/>
            <w:rFonts w:asciiTheme="minorBidi" w:hAnsiTheme="minorBidi"/>
            <w:b/>
            <w:bCs/>
          </w:rPr>
          <w:t>Figure 14</w:t>
        </w:r>
        <w:r>
          <w:rPr>
            <w:rStyle w:val="Hyperlink"/>
            <w:rFonts w:asciiTheme="minorBidi" w:hAnsiTheme="minorBidi"/>
          </w:rPr>
          <w:t xml:space="preserve"> : Figure sur les complications macro/microvasculaires du diabète.</w:t>
        </w:r>
        <w:r>
          <w:rPr>
            <w:rStyle w:val="Hyperlink"/>
          </w:rPr>
          <w:t xml:space="preserve"> </w:t>
        </w:r>
        <w:r>
          <w:rPr>
            <w:rStyle w:val="Hyperlink"/>
            <w:rFonts w:asciiTheme="minorBidi" w:hAnsiTheme="minorBidi"/>
            <w:b/>
            <w:bCs/>
          </w:rPr>
          <w:t>(Li, 2023)</w:t>
        </w:r>
        <w:r>
          <w:tab/>
        </w:r>
        <w:r>
          <w:fldChar w:fldCharType="begin"/>
        </w:r>
        <w:r>
          <w:instrText xml:space="preserve"> PAGEREF _Toc225723018 \h </w:instrText>
        </w:r>
        <w:r>
          <w:fldChar w:fldCharType="separate"/>
        </w:r>
        <w:r w:rsidR="003462B7">
          <w:rPr>
            <w:noProof/>
          </w:rPr>
          <w:t>26</w:t>
        </w:r>
        <w:r>
          <w:fldChar w:fldCharType="end"/>
        </w:r>
      </w:hyperlink>
    </w:p>
    <w:p w14:paraId="3F4B9836" w14:textId="465537A6" w:rsidR="00502BB2" w:rsidRDefault="00502BB2">
      <w:pPr>
        <w:pStyle w:val="TableofFigures"/>
        <w:tabs>
          <w:tab w:val="right" w:leader="underscore" w:pos="9396"/>
        </w:tabs>
        <w:rPr>
          <w:rFonts w:eastAsiaTheme="minorEastAsia" w:cstheme="minorBidi"/>
          <w:i w:val="0"/>
          <w:iCs w:val="0"/>
          <w:sz w:val="24"/>
          <w:lang w:eastAsia="fr-FR"/>
        </w:rPr>
      </w:pPr>
      <w:hyperlink w:anchor="_Toc225723019" w:history="1">
        <w:r>
          <w:rPr>
            <w:rStyle w:val="Hyperlink"/>
            <w:rFonts w:asciiTheme="minorBidi" w:hAnsiTheme="minorBidi"/>
            <w:b/>
            <w:bCs/>
          </w:rPr>
          <w:t>Figure 15</w:t>
        </w:r>
        <w:r>
          <w:rPr>
            <w:rStyle w:val="Hyperlink"/>
            <w:rFonts w:asciiTheme="minorBidi" w:hAnsiTheme="minorBidi"/>
          </w:rPr>
          <w:t xml:space="preserve"> : Organigramme des atteintes glycémiques du cerveau</w:t>
        </w:r>
        <w:r>
          <w:rPr>
            <w:rStyle w:val="Hyperlink"/>
          </w:rPr>
          <w:t xml:space="preserve">. </w:t>
        </w:r>
        <w:r>
          <w:rPr>
            <w:rStyle w:val="Hyperlink"/>
            <w:rFonts w:asciiTheme="minorBidi" w:hAnsiTheme="minorBidi"/>
            <w:b/>
            <w:bCs/>
          </w:rPr>
          <w:t>(Dienel, 2019)</w:t>
        </w:r>
        <w:r>
          <w:tab/>
        </w:r>
        <w:r>
          <w:fldChar w:fldCharType="begin"/>
        </w:r>
        <w:r>
          <w:instrText xml:space="preserve"> PAGEREF _Toc225723019 \h </w:instrText>
        </w:r>
        <w:r>
          <w:fldChar w:fldCharType="separate"/>
        </w:r>
        <w:r w:rsidR="003462B7">
          <w:rPr>
            <w:noProof/>
          </w:rPr>
          <w:t>26</w:t>
        </w:r>
        <w:r>
          <w:fldChar w:fldCharType="end"/>
        </w:r>
      </w:hyperlink>
    </w:p>
    <w:p w14:paraId="521B166C" w14:textId="3FC8DCE0" w:rsidR="00502BB2" w:rsidRDefault="00502BB2">
      <w:pPr>
        <w:pStyle w:val="TableofFigures"/>
        <w:tabs>
          <w:tab w:val="right" w:leader="underscore" w:pos="9396"/>
        </w:tabs>
        <w:rPr>
          <w:rFonts w:eastAsiaTheme="minorEastAsia" w:cstheme="minorBidi"/>
          <w:i w:val="0"/>
          <w:iCs w:val="0"/>
          <w:sz w:val="24"/>
          <w:lang w:eastAsia="fr-FR"/>
        </w:rPr>
      </w:pPr>
      <w:hyperlink w:anchor="_Toc225723020" w:history="1">
        <w:r>
          <w:rPr>
            <w:rStyle w:val="Hyperlink"/>
            <w:rFonts w:asciiTheme="minorBidi" w:hAnsiTheme="minorBidi"/>
            <w:b/>
            <w:bCs/>
          </w:rPr>
          <w:t xml:space="preserve">Figure 16 : </w:t>
        </w:r>
        <w:r>
          <w:rPr>
            <w:rStyle w:val="Hyperlink"/>
            <w:rFonts w:asciiTheme="minorBidi" w:hAnsiTheme="minorBidi"/>
          </w:rPr>
          <w:t>Figure de la signalisation du Lactate dans les cellules cardiaques et rénales.</w:t>
        </w:r>
        <w:r>
          <w:rPr>
            <w:rStyle w:val="Hyperlink"/>
          </w:rPr>
          <w:t xml:space="preserve"> </w:t>
        </w:r>
        <w:r>
          <w:rPr>
            <w:rStyle w:val="Hyperlink"/>
            <w:rFonts w:asciiTheme="minorBidi" w:hAnsiTheme="minorBidi"/>
          </w:rPr>
          <w:t xml:space="preserve"> </w:t>
        </w:r>
        <w:r>
          <w:rPr>
            <w:rStyle w:val="Hyperlink"/>
            <w:rFonts w:asciiTheme="minorBidi" w:hAnsiTheme="minorBidi"/>
            <w:b/>
            <w:bCs/>
          </w:rPr>
          <w:t>(Siyu Guo, 2025</w:t>
        </w:r>
        <w:r>
          <w:rPr>
            <w:rStyle w:val="Hyperlink"/>
            <w:rFonts w:asciiTheme="minorBidi" w:hAnsiTheme="minorBidi"/>
          </w:rPr>
          <w:t>)</w:t>
        </w:r>
        <w:r>
          <w:tab/>
        </w:r>
        <w:r>
          <w:fldChar w:fldCharType="begin"/>
        </w:r>
        <w:r>
          <w:instrText xml:space="preserve"> PAGEREF _Toc225723020 \h </w:instrText>
        </w:r>
        <w:r>
          <w:fldChar w:fldCharType="separate"/>
        </w:r>
        <w:r w:rsidR="003462B7">
          <w:rPr>
            <w:noProof/>
          </w:rPr>
          <w:t>29</w:t>
        </w:r>
        <w:r>
          <w:fldChar w:fldCharType="end"/>
        </w:r>
      </w:hyperlink>
    </w:p>
    <w:p w14:paraId="74382006" w14:textId="6425316F" w:rsidR="00502BB2" w:rsidRDefault="00502BB2">
      <w:pPr>
        <w:pStyle w:val="TableofFigures"/>
        <w:tabs>
          <w:tab w:val="right" w:leader="underscore" w:pos="9396"/>
        </w:tabs>
        <w:rPr>
          <w:rFonts w:eastAsiaTheme="minorEastAsia" w:cstheme="minorBidi"/>
          <w:i w:val="0"/>
          <w:iCs w:val="0"/>
          <w:sz w:val="24"/>
          <w:lang w:eastAsia="fr-FR"/>
        </w:rPr>
      </w:pPr>
      <w:hyperlink w:anchor="_Toc225723021" w:history="1">
        <w:r>
          <w:rPr>
            <w:rStyle w:val="Hyperlink"/>
            <w:rFonts w:asciiTheme="minorBidi" w:hAnsiTheme="minorBidi"/>
            <w:b/>
            <w:bCs/>
          </w:rPr>
          <w:t>Figure 17</w:t>
        </w:r>
        <w:r>
          <w:rPr>
            <w:rStyle w:val="Hyperlink"/>
            <w:rFonts w:asciiTheme="minorBidi" w:hAnsiTheme="minorBidi"/>
          </w:rPr>
          <w:t xml:space="preserve"> : Figure des différentes voies de productions du Lactate. </w:t>
        </w:r>
        <w:r>
          <w:rPr>
            <w:rStyle w:val="Hyperlink"/>
            <w:rFonts w:asciiTheme="minorBidi" w:hAnsiTheme="minorBidi"/>
            <w:b/>
            <w:bCs/>
          </w:rPr>
          <w:t>(Deulkar P, 2024)</w:t>
        </w:r>
        <w:r>
          <w:tab/>
        </w:r>
        <w:r>
          <w:fldChar w:fldCharType="begin"/>
        </w:r>
        <w:r>
          <w:instrText xml:space="preserve"> PAGEREF _Toc225723021 \h </w:instrText>
        </w:r>
        <w:r>
          <w:fldChar w:fldCharType="separate"/>
        </w:r>
        <w:r w:rsidR="003462B7">
          <w:rPr>
            <w:noProof/>
          </w:rPr>
          <w:t>30</w:t>
        </w:r>
        <w:r>
          <w:fldChar w:fldCharType="end"/>
        </w:r>
      </w:hyperlink>
    </w:p>
    <w:p w14:paraId="28316A83" w14:textId="7ACDFF36" w:rsidR="00502BB2" w:rsidRDefault="00502BB2">
      <w:pPr>
        <w:pStyle w:val="TableofFigures"/>
        <w:tabs>
          <w:tab w:val="right" w:leader="underscore" w:pos="9396"/>
        </w:tabs>
        <w:rPr>
          <w:rFonts w:eastAsiaTheme="minorEastAsia" w:cstheme="minorBidi"/>
          <w:i w:val="0"/>
          <w:iCs w:val="0"/>
          <w:sz w:val="24"/>
          <w:lang w:eastAsia="fr-FR"/>
        </w:rPr>
      </w:pPr>
      <w:hyperlink w:anchor="_Toc225723022" w:history="1">
        <w:r>
          <w:rPr>
            <w:rStyle w:val="Hyperlink"/>
            <w:rFonts w:asciiTheme="minorBidi" w:hAnsiTheme="minorBidi"/>
            <w:b/>
            <w:bCs/>
          </w:rPr>
          <w:t>Figure 18</w:t>
        </w:r>
        <w:r>
          <w:rPr>
            <w:rStyle w:val="Hyperlink"/>
            <w:rFonts w:asciiTheme="minorBidi" w:hAnsiTheme="minorBidi"/>
          </w:rPr>
          <w:t xml:space="preserve"> : Figure du trajet de Lactate dans l'organisme et cycle de Cori</w:t>
        </w:r>
        <w:r>
          <w:rPr>
            <w:rStyle w:val="Hyperlink"/>
          </w:rPr>
          <w:t xml:space="preserve">. </w:t>
        </w:r>
        <w:r>
          <w:rPr>
            <w:rStyle w:val="Hyperlink"/>
            <w:rFonts w:asciiTheme="minorBidi" w:hAnsiTheme="minorBidi"/>
            <w:b/>
            <w:bCs/>
          </w:rPr>
          <w:t xml:space="preserve"> (Xu, 2002)</w:t>
        </w:r>
        <w:r>
          <w:tab/>
        </w:r>
        <w:r>
          <w:fldChar w:fldCharType="begin"/>
        </w:r>
        <w:r>
          <w:instrText xml:space="preserve"> PAGEREF _Toc225723022 \h </w:instrText>
        </w:r>
        <w:r>
          <w:fldChar w:fldCharType="separate"/>
        </w:r>
        <w:r w:rsidR="003462B7">
          <w:rPr>
            <w:noProof/>
          </w:rPr>
          <w:t>31</w:t>
        </w:r>
        <w:r>
          <w:fldChar w:fldCharType="end"/>
        </w:r>
      </w:hyperlink>
    </w:p>
    <w:p w14:paraId="0ACFDF76" w14:textId="53B624C1" w:rsidR="00502BB2" w:rsidRDefault="00502BB2">
      <w:pPr>
        <w:pStyle w:val="TableofFigures"/>
        <w:tabs>
          <w:tab w:val="right" w:leader="underscore" w:pos="9396"/>
        </w:tabs>
        <w:rPr>
          <w:rFonts w:eastAsiaTheme="minorEastAsia" w:cstheme="minorBidi"/>
          <w:i w:val="0"/>
          <w:iCs w:val="0"/>
          <w:sz w:val="24"/>
          <w:lang w:eastAsia="fr-FR"/>
        </w:rPr>
      </w:pPr>
      <w:hyperlink w:anchor="_Toc225723023" w:history="1">
        <w:r>
          <w:rPr>
            <w:rStyle w:val="Hyperlink"/>
            <w:rFonts w:asciiTheme="minorBidi" w:hAnsiTheme="minorBidi"/>
            <w:b/>
            <w:bCs/>
          </w:rPr>
          <w:t>Figure 19</w:t>
        </w:r>
        <w:r>
          <w:rPr>
            <w:rStyle w:val="Hyperlink"/>
            <w:rFonts w:asciiTheme="minorBidi" w:hAnsiTheme="minorBidi"/>
          </w:rPr>
          <w:t xml:space="preserve"> : Figure du phénomène de Lactylation. </w:t>
        </w:r>
        <w:r>
          <w:rPr>
            <w:rStyle w:val="Hyperlink"/>
            <w:rFonts w:asciiTheme="minorBidi" w:hAnsiTheme="minorBidi"/>
            <w:b/>
            <w:bCs/>
          </w:rPr>
          <w:t>(Guannan Chen, 2025)</w:t>
        </w:r>
        <w:r>
          <w:tab/>
        </w:r>
        <w:r>
          <w:fldChar w:fldCharType="begin"/>
        </w:r>
        <w:r>
          <w:instrText xml:space="preserve"> PAGEREF _Toc225723023 \h </w:instrText>
        </w:r>
        <w:r>
          <w:fldChar w:fldCharType="separate"/>
        </w:r>
        <w:r w:rsidR="003462B7">
          <w:rPr>
            <w:noProof/>
          </w:rPr>
          <w:t>32</w:t>
        </w:r>
        <w:r>
          <w:fldChar w:fldCharType="end"/>
        </w:r>
      </w:hyperlink>
    </w:p>
    <w:p w14:paraId="63BC6A5C" w14:textId="3EEF6C3F" w:rsidR="00502BB2" w:rsidRDefault="00502BB2">
      <w:pPr>
        <w:pStyle w:val="TableofFigures"/>
        <w:tabs>
          <w:tab w:val="right" w:leader="underscore" w:pos="9396"/>
        </w:tabs>
        <w:rPr>
          <w:rFonts w:eastAsiaTheme="minorEastAsia" w:cstheme="minorBidi"/>
          <w:i w:val="0"/>
          <w:iCs w:val="0"/>
          <w:sz w:val="24"/>
          <w:lang w:eastAsia="fr-FR"/>
        </w:rPr>
      </w:pPr>
      <w:hyperlink w:anchor="_Toc225723024" w:history="1">
        <w:r>
          <w:rPr>
            <w:rStyle w:val="Hyperlink"/>
            <w:rFonts w:asciiTheme="minorBidi" w:hAnsiTheme="minorBidi"/>
            <w:b/>
            <w:bCs/>
          </w:rPr>
          <w:t>Figure 20</w:t>
        </w:r>
        <w:r>
          <w:rPr>
            <w:rStyle w:val="Hyperlink"/>
            <w:rFonts w:asciiTheme="minorBidi" w:hAnsiTheme="minorBidi"/>
          </w:rPr>
          <w:t xml:space="preserve"> : Figure sur la vois de signalisation du lactate dans le diabète </w:t>
        </w:r>
        <w:r>
          <w:rPr>
            <w:rStyle w:val="Hyperlink"/>
            <w:rFonts w:asciiTheme="minorBidi" w:hAnsiTheme="minorBidi"/>
            <w:b/>
            <w:bCs/>
          </w:rPr>
          <w:t>(Siyu Guo, 2025)</w:t>
        </w:r>
        <w:r>
          <w:tab/>
        </w:r>
        <w:r>
          <w:fldChar w:fldCharType="begin"/>
        </w:r>
        <w:r>
          <w:instrText xml:space="preserve"> PAGEREF _Toc225723024 \h </w:instrText>
        </w:r>
        <w:r>
          <w:fldChar w:fldCharType="separate"/>
        </w:r>
        <w:r w:rsidR="003462B7">
          <w:rPr>
            <w:noProof/>
          </w:rPr>
          <w:t>34</w:t>
        </w:r>
        <w:r>
          <w:fldChar w:fldCharType="end"/>
        </w:r>
      </w:hyperlink>
    </w:p>
    <w:p w14:paraId="4E4949FA" w14:textId="033470E4" w:rsidR="00502BB2" w:rsidRDefault="00502BB2">
      <w:pPr>
        <w:pStyle w:val="TableofFigures"/>
        <w:tabs>
          <w:tab w:val="right" w:leader="underscore" w:pos="9396"/>
        </w:tabs>
        <w:rPr>
          <w:rFonts w:eastAsiaTheme="minorEastAsia" w:cstheme="minorBidi"/>
          <w:i w:val="0"/>
          <w:iCs w:val="0"/>
          <w:sz w:val="24"/>
          <w:lang w:eastAsia="fr-FR"/>
        </w:rPr>
      </w:pPr>
      <w:hyperlink w:anchor="_Toc225723025" w:history="1">
        <w:r>
          <w:rPr>
            <w:rStyle w:val="Hyperlink"/>
            <w:rFonts w:asciiTheme="minorBidi" w:hAnsiTheme="minorBidi"/>
            <w:b/>
            <w:bCs/>
          </w:rPr>
          <w:t>Figure 21</w:t>
        </w:r>
        <w:r>
          <w:rPr>
            <w:rStyle w:val="Hyperlink"/>
            <w:rFonts w:asciiTheme="minorBidi" w:hAnsiTheme="minorBidi"/>
          </w:rPr>
          <w:t xml:space="preserve"> : Figure du phénomène de Lactylation dans le diabète </w:t>
        </w:r>
        <w:r>
          <w:rPr>
            <w:rStyle w:val="Hyperlink"/>
            <w:rFonts w:asciiTheme="minorBidi" w:hAnsiTheme="minorBidi"/>
            <w:b/>
            <w:bCs/>
          </w:rPr>
          <w:t>(Guannan Chen, 2025)</w:t>
        </w:r>
        <w:r>
          <w:tab/>
        </w:r>
        <w:r>
          <w:fldChar w:fldCharType="begin"/>
        </w:r>
        <w:r>
          <w:instrText xml:space="preserve"> PAGEREF _Toc225723025 \h </w:instrText>
        </w:r>
        <w:r>
          <w:fldChar w:fldCharType="separate"/>
        </w:r>
        <w:r w:rsidR="003462B7">
          <w:rPr>
            <w:noProof/>
          </w:rPr>
          <w:t>37</w:t>
        </w:r>
        <w:r>
          <w:fldChar w:fldCharType="end"/>
        </w:r>
      </w:hyperlink>
    </w:p>
    <w:p w14:paraId="6CA7CDA4" w14:textId="3B4E0ABD" w:rsidR="00502BB2" w:rsidRDefault="00502BB2">
      <w:pPr>
        <w:pStyle w:val="TableofFigures"/>
        <w:tabs>
          <w:tab w:val="right" w:leader="underscore" w:pos="9396"/>
        </w:tabs>
        <w:rPr>
          <w:rFonts w:eastAsiaTheme="minorEastAsia" w:cstheme="minorBidi"/>
          <w:i w:val="0"/>
          <w:iCs w:val="0"/>
          <w:sz w:val="24"/>
          <w:lang w:eastAsia="fr-FR"/>
        </w:rPr>
      </w:pPr>
      <w:hyperlink w:anchor="_Toc225723026" w:history="1">
        <w:r>
          <w:rPr>
            <w:rStyle w:val="Hyperlink"/>
            <w:rFonts w:asciiTheme="minorBidi" w:hAnsiTheme="minorBidi"/>
            <w:b/>
            <w:bCs/>
          </w:rPr>
          <w:t>Figure 22</w:t>
        </w:r>
        <w:r>
          <w:rPr>
            <w:rStyle w:val="Hyperlink"/>
            <w:rFonts w:asciiTheme="minorBidi" w:hAnsiTheme="minorBidi"/>
          </w:rPr>
          <w:t xml:space="preserve"> : Figure de la structure des corps cétoniques </w:t>
        </w:r>
        <w:r>
          <w:rPr>
            <w:rStyle w:val="Hyperlink"/>
            <w:rFonts w:asciiTheme="minorBidi" w:hAnsiTheme="minorBidi"/>
            <w:b/>
            <w:bCs/>
          </w:rPr>
          <w:t>(Daines, 2021)</w:t>
        </w:r>
        <w:r>
          <w:tab/>
        </w:r>
        <w:r>
          <w:fldChar w:fldCharType="begin"/>
        </w:r>
        <w:r>
          <w:instrText xml:space="preserve"> PAGEREF _Toc225723026 \h </w:instrText>
        </w:r>
        <w:r>
          <w:fldChar w:fldCharType="separate"/>
        </w:r>
        <w:r w:rsidR="003462B7">
          <w:rPr>
            <w:noProof/>
          </w:rPr>
          <w:t>38</w:t>
        </w:r>
        <w:r>
          <w:fldChar w:fldCharType="end"/>
        </w:r>
      </w:hyperlink>
    </w:p>
    <w:p w14:paraId="7C88F3E7" w14:textId="39510D9B" w:rsidR="00502BB2" w:rsidRDefault="00502BB2">
      <w:pPr>
        <w:pStyle w:val="TableofFigures"/>
        <w:tabs>
          <w:tab w:val="right" w:leader="underscore" w:pos="9396"/>
        </w:tabs>
        <w:rPr>
          <w:rFonts w:eastAsiaTheme="minorEastAsia" w:cstheme="minorBidi"/>
          <w:i w:val="0"/>
          <w:iCs w:val="0"/>
          <w:sz w:val="24"/>
          <w:lang w:eastAsia="fr-FR"/>
        </w:rPr>
      </w:pPr>
      <w:hyperlink w:anchor="_Toc225723027" w:history="1">
        <w:r>
          <w:rPr>
            <w:rStyle w:val="Hyperlink"/>
            <w:rFonts w:asciiTheme="minorBidi" w:hAnsiTheme="minorBidi"/>
            <w:b/>
            <w:bCs/>
          </w:rPr>
          <w:t>Figure 23</w:t>
        </w:r>
        <w:r>
          <w:rPr>
            <w:rStyle w:val="Hyperlink"/>
            <w:rFonts w:asciiTheme="minorBidi" w:hAnsiTheme="minorBidi"/>
          </w:rPr>
          <w:t xml:space="preserve"> : Figure de la biosynthèse des corps cétoniques </w:t>
        </w:r>
        <w:r>
          <w:rPr>
            <w:rStyle w:val="Hyperlink"/>
            <w:rFonts w:asciiTheme="minorBidi" w:hAnsiTheme="minorBidi"/>
            <w:b/>
            <w:bCs/>
          </w:rPr>
          <w:t>(Romane Bertrand, 2022)</w:t>
        </w:r>
        <w:r>
          <w:tab/>
        </w:r>
        <w:r>
          <w:fldChar w:fldCharType="begin"/>
        </w:r>
        <w:r>
          <w:instrText xml:space="preserve"> PAGEREF _Toc225723027 \h </w:instrText>
        </w:r>
        <w:r>
          <w:fldChar w:fldCharType="separate"/>
        </w:r>
        <w:r w:rsidR="003462B7">
          <w:rPr>
            <w:noProof/>
          </w:rPr>
          <w:t>39</w:t>
        </w:r>
        <w:r>
          <w:fldChar w:fldCharType="end"/>
        </w:r>
      </w:hyperlink>
    </w:p>
    <w:p w14:paraId="2D01D157" w14:textId="596DFE7D" w:rsidR="00502BB2" w:rsidRDefault="00502BB2">
      <w:pPr>
        <w:pStyle w:val="TableofFigures"/>
        <w:tabs>
          <w:tab w:val="right" w:leader="underscore" w:pos="9396"/>
        </w:tabs>
        <w:rPr>
          <w:rFonts w:eastAsiaTheme="minorEastAsia" w:cstheme="minorBidi"/>
          <w:i w:val="0"/>
          <w:iCs w:val="0"/>
          <w:sz w:val="24"/>
          <w:lang w:eastAsia="fr-FR"/>
        </w:rPr>
      </w:pPr>
      <w:hyperlink w:anchor="_Toc225723028" w:history="1">
        <w:r>
          <w:rPr>
            <w:rStyle w:val="Hyperlink"/>
            <w:rFonts w:asciiTheme="minorBidi" w:hAnsiTheme="minorBidi"/>
            <w:b/>
            <w:bCs/>
          </w:rPr>
          <w:t>Figure 24</w:t>
        </w:r>
        <w:r>
          <w:rPr>
            <w:rStyle w:val="Hyperlink"/>
            <w:rFonts w:asciiTheme="minorBidi" w:hAnsiTheme="minorBidi"/>
          </w:rPr>
          <w:t xml:space="preserve"> : Figure du métabolisme du BHB </w:t>
        </w:r>
        <w:r>
          <w:rPr>
            <w:rStyle w:val="Hyperlink"/>
            <w:rFonts w:asciiTheme="minorBidi" w:hAnsiTheme="minorBidi"/>
            <w:b/>
            <w:bCs/>
          </w:rPr>
          <w:t>(Romane Bertrand, 2022)</w:t>
        </w:r>
        <w:r>
          <w:tab/>
        </w:r>
        <w:r>
          <w:fldChar w:fldCharType="begin"/>
        </w:r>
        <w:r>
          <w:instrText xml:space="preserve"> PAGEREF _Toc225723028 \h </w:instrText>
        </w:r>
        <w:r>
          <w:fldChar w:fldCharType="separate"/>
        </w:r>
        <w:r w:rsidR="003462B7">
          <w:rPr>
            <w:noProof/>
          </w:rPr>
          <w:t>40</w:t>
        </w:r>
        <w:r>
          <w:fldChar w:fldCharType="end"/>
        </w:r>
      </w:hyperlink>
    </w:p>
    <w:p w14:paraId="39C8CA27" w14:textId="14F467E3" w:rsidR="00502BB2" w:rsidRDefault="00502BB2">
      <w:pPr>
        <w:pStyle w:val="TableofFigures"/>
        <w:tabs>
          <w:tab w:val="right" w:leader="underscore" w:pos="9396"/>
        </w:tabs>
        <w:rPr>
          <w:rFonts w:eastAsiaTheme="minorEastAsia" w:cstheme="minorBidi"/>
          <w:i w:val="0"/>
          <w:iCs w:val="0"/>
          <w:sz w:val="24"/>
          <w:lang w:eastAsia="fr-FR"/>
        </w:rPr>
      </w:pPr>
      <w:hyperlink w:anchor="_Toc225723029" w:history="1">
        <w:r>
          <w:rPr>
            <w:rStyle w:val="Hyperlink"/>
            <w:rFonts w:asciiTheme="minorBidi" w:hAnsiTheme="minorBidi"/>
            <w:b/>
            <w:bCs/>
          </w:rPr>
          <w:t>Figure 25</w:t>
        </w:r>
        <w:r>
          <w:rPr>
            <w:rStyle w:val="Hyperlink"/>
            <w:rFonts w:asciiTheme="minorBidi" w:hAnsiTheme="minorBidi"/>
          </w:rPr>
          <w:t xml:space="preserve"> : Figure des voies de signalisation du BHB </w:t>
        </w:r>
        <w:r>
          <w:rPr>
            <w:rStyle w:val="Hyperlink"/>
            <w:rFonts w:asciiTheme="minorBidi" w:hAnsiTheme="minorBidi"/>
            <w:b/>
            <w:bCs/>
          </w:rPr>
          <w:t>(Han, 2020)</w:t>
        </w:r>
        <w:r>
          <w:tab/>
        </w:r>
        <w:r>
          <w:fldChar w:fldCharType="begin"/>
        </w:r>
        <w:r>
          <w:instrText xml:space="preserve"> PAGEREF _Toc225723029 \h </w:instrText>
        </w:r>
        <w:r>
          <w:fldChar w:fldCharType="separate"/>
        </w:r>
        <w:r w:rsidR="003462B7">
          <w:rPr>
            <w:noProof/>
          </w:rPr>
          <w:t>41</w:t>
        </w:r>
        <w:r>
          <w:fldChar w:fldCharType="end"/>
        </w:r>
      </w:hyperlink>
    </w:p>
    <w:p w14:paraId="670001F2" w14:textId="2B201CBC" w:rsidR="00502BB2" w:rsidRDefault="00502BB2">
      <w:pPr>
        <w:pStyle w:val="TableofFigures"/>
        <w:tabs>
          <w:tab w:val="right" w:leader="underscore" w:pos="9396"/>
        </w:tabs>
        <w:rPr>
          <w:rFonts w:eastAsiaTheme="minorEastAsia" w:cstheme="minorBidi"/>
          <w:i w:val="0"/>
          <w:iCs w:val="0"/>
          <w:sz w:val="24"/>
          <w:lang w:eastAsia="fr-FR"/>
        </w:rPr>
      </w:pPr>
      <w:hyperlink w:anchor="_Toc225723030" w:history="1">
        <w:r>
          <w:rPr>
            <w:rStyle w:val="Hyperlink"/>
            <w:rFonts w:asciiTheme="minorBidi" w:hAnsiTheme="minorBidi"/>
            <w:b/>
            <w:bCs/>
          </w:rPr>
          <w:t>Figure 26</w:t>
        </w:r>
        <w:r>
          <w:rPr>
            <w:rStyle w:val="Hyperlink"/>
            <w:rFonts w:asciiTheme="minorBidi" w:hAnsiTheme="minorBidi"/>
          </w:rPr>
          <w:t xml:space="preserve"> : Figure représentatif de la région de Tlemcen (</w:t>
        </w:r>
        <w:r>
          <w:rPr>
            <w:rStyle w:val="Hyperlink"/>
            <w:rFonts w:asciiTheme="minorBidi" w:hAnsiTheme="minorBidi"/>
            <w:b/>
            <w:bCs/>
          </w:rPr>
          <w:t>Babali, 2014)</w:t>
        </w:r>
        <w:r>
          <w:tab/>
        </w:r>
        <w:r>
          <w:fldChar w:fldCharType="begin"/>
        </w:r>
        <w:r>
          <w:instrText xml:space="preserve"> PAGEREF _Toc225723030 \h </w:instrText>
        </w:r>
        <w:r>
          <w:fldChar w:fldCharType="separate"/>
        </w:r>
        <w:r w:rsidR="003462B7">
          <w:rPr>
            <w:noProof/>
          </w:rPr>
          <w:t>44</w:t>
        </w:r>
        <w:r>
          <w:fldChar w:fldCharType="end"/>
        </w:r>
      </w:hyperlink>
    </w:p>
    <w:p w14:paraId="0657A192" w14:textId="04F8B7CE" w:rsidR="00502BB2" w:rsidRDefault="00502BB2">
      <w:pPr>
        <w:pStyle w:val="TableofFigures"/>
        <w:tabs>
          <w:tab w:val="right" w:leader="underscore" w:pos="9396"/>
        </w:tabs>
        <w:rPr>
          <w:rFonts w:eastAsiaTheme="minorEastAsia" w:cstheme="minorBidi"/>
          <w:i w:val="0"/>
          <w:iCs w:val="0"/>
          <w:sz w:val="24"/>
          <w:lang w:eastAsia="fr-FR"/>
        </w:rPr>
      </w:pPr>
      <w:hyperlink w:anchor="_Toc225723031" w:history="1">
        <w:r>
          <w:rPr>
            <w:rStyle w:val="Hyperlink"/>
            <w:rFonts w:asciiTheme="minorBidi" w:hAnsiTheme="minorBidi"/>
          </w:rPr>
          <w:t>Figure 27 : Répartition globale et par groupe du sexe des patients</w:t>
        </w:r>
        <w:r>
          <w:tab/>
        </w:r>
        <w:r>
          <w:fldChar w:fldCharType="begin"/>
        </w:r>
        <w:r>
          <w:instrText xml:space="preserve"> PAGEREF _Toc225723031 \h </w:instrText>
        </w:r>
        <w:r>
          <w:fldChar w:fldCharType="separate"/>
        </w:r>
        <w:r w:rsidR="003462B7">
          <w:rPr>
            <w:noProof/>
          </w:rPr>
          <w:t>49</w:t>
        </w:r>
        <w:r>
          <w:fldChar w:fldCharType="end"/>
        </w:r>
      </w:hyperlink>
    </w:p>
    <w:p w14:paraId="6ADE0CCB" w14:textId="000FD258" w:rsidR="00502BB2" w:rsidRDefault="00502BB2">
      <w:pPr>
        <w:pStyle w:val="TableofFigures"/>
        <w:tabs>
          <w:tab w:val="right" w:leader="underscore" w:pos="9396"/>
        </w:tabs>
        <w:rPr>
          <w:rFonts w:eastAsiaTheme="minorEastAsia" w:cstheme="minorBidi"/>
          <w:i w:val="0"/>
          <w:iCs w:val="0"/>
          <w:sz w:val="24"/>
          <w:lang w:eastAsia="fr-FR"/>
        </w:rPr>
      </w:pPr>
      <w:hyperlink w:anchor="_Toc225723032" w:history="1">
        <w:r>
          <w:rPr>
            <w:rStyle w:val="Hyperlink"/>
            <w:rFonts w:asciiTheme="minorBidi" w:hAnsiTheme="minorBidi"/>
          </w:rPr>
          <w:t>Figure 28 : Figure de la moyenne des âges des patients</w:t>
        </w:r>
        <w:r>
          <w:tab/>
        </w:r>
        <w:r>
          <w:fldChar w:fldCharType="begin"/>
        </w:r>
        <w:r>
          <w:instrText xml:space="preserve"> PAGEREF _Toc225723032 \h </w:instrText>
        </w:r>
        <w:r>
          <w:fldChar w:fldCharType="separate"/>
        </w:r>
        <w:r w:rsidR="003462B7">
          <w:rPr>
            <w:noProof/>
          </w:rPr>
          <w:t>50</w:t>
        </w:r>
        <w:r>
          <w:fldChar w:fldCharType="end"/>
        </w:r>
      </w:hyperlink>
    </w:p>
    <w:p w14:paraId="639DAEC5" w14:textId="32824D8A" w:rsidR="00502BB2" w:rsidRDefault="00502BB2">
      <w:pPr>
        <w:pStyle w:val="TableofFigures"/>
        <w:tabs>
          <w:tab w:val="right" w:leader="underscore" w:pos="9396"/>
        </w:tabs>
        <w:rPr>
          <w:rFonts w:eastAsiaTheme="minorEastAsia" w:cstheme="minorBidi"/>
          <w:i w:val="0"/>
          <w:iCs w:val="0"/>
          <w:sz w:val="24"/>
          <w:lang w:eastAsia="fr-FR"/>
        </w:rPr>
      </w:pPr>
      <w:hyperlink w:anchor="_Toc225723033" w:history="1">
        <w:r>
          <w:rPr>
            <w:rStyle w:val="Hyperlink"/>
            <w:rFonts w:asciiTheme="minorBidi" w:hAnsiTheme="minorBidi"/>
            <w:b/>
            <w:bCs/>
          </w:rPr>
          <w:t>Figure 30:</w:t>
        </w:r>
        <w:r>
          <w:rPr>
            <w:rStyle w:val="Hyperlink"/>
            <w:rFonts w:asciiTheme="minorBidi" w:hAnsiTheme="minorBidi"/>
          </w:rPr>
          <w:t xml:space="preserve"> Répartition des types de diabètes</w:t>
        </w:r>
        <w:r>
          <w:tab/>
        </w:r>
        <w:r>
          <w:fldChar w:fldCharType="begin"/>
        </w:r>
        <w:r>
          <w:instrText xml:space="preserve"> PAGEREF _Toc225723033 \h </w:instrText>
        </w:r>
        <w:r>
          <w:fldChar w:fldCharType="separate"/>
        </w:r>
        <w:r w:rsidR="003462B7">
          <w:rPr>
            <w:noProof/>
          </w:rPr>
          <w:t>52</w:t>
        </w:r>
        <w:r>
          <w:fldChar w:fldCharType="end"/>
        </w:r>
      </w:hyperlink>
    </w:p>
    <w:p w14:paraId="3346B27B" w14:textId="3BCE81F2" w:rsidR="00502BB2" w:rsidRDefault="00502BB2">
      <w:pPr>
        <w:pStyle w:val="TableofFigures"/>
        <w:tabs>
          <w:tab w:val="right" w:leader="underscore" w:pos="9396"/>
        </w:tabs>
        <w:rPr>
          <w:rFonts w:eastAsiaTheme="minorEastAsia" w:cstheme="minorBidi"/>
          <w:i w:val="0"/>
          <w:iCs w:val="0"/>
          <w:sz w:val="24"/>
          <w:lang w:eastAsia="fr-FR"/>
        </w:rPr>
      </w:pPr>
      <w:hyperlink w:anchor="_Toc225723034" w:history="1">
        <w:r>
          <w:rPr>
            <w:rStyle w:val="Hyperlink"/>
            <w:rFonts w:asciiTheme="minorBidi" w:hAnsiTheme="minorBidi"/>
            <w:b/>
            <w:bCs/>
          </w:rPr>
          <w:t>Figure 31</w:t>
        </w:r>
        <w:r>
          <w:rPr>
            <w:rStyle w:val="Hyperlink"/>
            <w:rFonts w:asciiTheme="minorBidi" w:hAnsiTheme="minorBidi"/>
          </w:rPr>
          <w:t xml:space="preserve"> : Figure de la moyenne des HbA1c des différents types de diabètes</w:t>
        </w:r>
        <w:r>
          <w:tab/>
        </w:r>
        <w:r>
          <w:fldChar w:fldCharType="begin"/>
        </w:r>
        <w:r>
          <w:instrText xml:space="preserve"> PAGEREF _Toc225723034 \h </w:instrText>
        </w:r>
        <w:r>
          <w:fldChar w:fldCharType="separate"/>
        </w:r>
        <w:r w:rsidR="003462B7">
          <w:rPr>
            <w:noProof/>
          </w:rPr>
          <w:t>53</w:t>
        </w:r>
        <w:r>
          <w:fldChar w:fldCharType="end"/>
        </w:r>
      </w:hyperlink>
    </w:p>
    <w:p w14:paraId="3A39D646" w14:textId="6C513695" w:rsidR="00502BB2" w:rsidRDefault="00502BB2">
      <w:pPr>
        <w:pStyle w:val="TableofFigures"/>
        <w:tabs>
          <w:tab w:val="right" w:leader="underscore" w:pos="9396"/>
        </w:tabs>
        <w:rPr>
          <w:rFonts w:eastAsiaTheme="minorEastAsia" w:cstheme="minorBidi"/>
          <w:i w:val="0"/>
          <w:iCs w:val="0"/>
          <w:sz w:val="24"/>
          <w:lang w:eastAsia="fr-FR"/>
        </w:rPr>
      </w:pPr>
      <w:hyperlink w:anchor="_Toc225723035" w:history="1">
        <w:r>
          <w:rPr>
            <w:rStyle w:val="Hyperlink"/>
            <w:rFonts w:asciiTheme="minorBidi" w:hAnsiTheme="minorBidi"/>
            <w:b/>
            <w:bCs/>
          </w:rPr>
          <w:t>Figure 32 : Figure des moyennes de la glycémie</w:t>
        </w:r>
        <w:r>
          <w:tab/>
        </w:r>
        <w:r>
          <w:fldChar w:fldCharType="begin"/>
        </w:r>
        <w:r>
          <w:instrText xml:space="preserve"> PAGEREF _Toc225723035 \h </w:instrText>
        </w:r>
        <w:r>
          <w:fldChar w:fldCharType="separate"/>
        </w:r>
        <w:r w:rsidR="003462B7">
          <w:rPr>
            <w:noProof/>
          </w:rPr>
          <w:t>54</w:t>
        </w:r>
        <w:r>
          <w:fldChar w:fldCharType="end"/>
        </w:r>
      </w:hyperlink>
    </w:p>
    <w:p w14:paraId="57DE211B" w14:textId="7B8AAC5A" w:rsidR="00502BB2" w:rsidRDefault="00502BB2">
      <w:pPr>
        <w:pStyle w:val="TableofFigures"/>
        <w:tabs>
          <w:tab w:val="right" w:leader="underscore" w:pos="9396"/>
        </w:tabs>
        <w:rPr>
          <w:rFonts w:eastAsiaTheme="minorEastAsia" w:cstheme="minorBidi"/>
          <w:i w:val="0"/>
          <w:iCs w:val="0"/>
          <w:sz w:val="24"/>
          <w:lang w:eastAsia="fr-FR"/>
        </w:rPr>
      </w:pPr>
      <w:hyperlink w:anchor="_Toc225723036" w:history="1">
        <w:r>
          <w:rPr>
            <w:rStyle w:val="Hyperlink"/>
            <w:rFonts w:asciiTheme="minorBidi" w:hAnsiTheme="minorBidi"/>
            <w:b/>
            <w:bCs/>
          </w:rPr>
          <w:t xml:space="preserve">Figure 33 : </w:t>
        </w:r>
        <w:r>
          <w:rPr>
            <w:rStyle w:val="Hyperlink"/>
            <w:rFonts w:asciiTheme="minorBidi" w:hAnsiTheme="minorBidi"/>
          </w:rPr>
          <w:t>Figure des moyennes de HbA1c</w:t>
        </w:r>
        <w:r>
          <w:tab/>
        </w:r>
        <w:r>
          <w:fldChar w:fldCharType="begin"/>
        </w:r>
        <w:r>
          <w:instrText xml:space="preserve"> PAGEREF _Toc225723036 \h </w:instrText>
        </w:r>
        <w:r>
          <w:fldChar w:fldCharType="separate"/>
        </w:r>
        <w:r w:rsidR="003462B7">
          <w:rPr>
            <w:noProof/>
          </w:rPr>
          <w:t>56</w:t>
        </w:r>
        <w:r>
          <w:fldChar w:fldCharType="end"/>
        </w:r>
      </w:hyperlink>
    </w:p>
    <w:p w14:paraId="7FA8F54D" w14:textId="17DF8F20" w:rsidR="00502BB2" w:rsidRDefault="00502BB2">
      <w:pPr>
        <w:pStyle w:val="TableofFigures"/>
        <w:tabs>
          <w:tab w:val="right" w:leader="underscore" w:pos="9396"/>
        </w:tabs>
        <w:rPr>
          <w:rFonts w:eastAsiaTheme="minorEastAsia" w:cstheme="minorBidi"/>
          <w:i w:val="0"/>
          <w:iCs w:val="0"/>
          <w:sz w:val="24"/>
          <w:lang w:eastAsia="fr-FR"/>
        </w:rPr>
      </w:pPr>
      <w:hyperlink w:anchor="_Toc225723037" w:history="1">
        <w:r>
          <w:rPr>
            <w:rStyle w:val="Hyperlink"/>
            <w:rFonts w:asciiTheme="minorBidi" w:hAnsiTheme="minorBidi"/>
            <w:b/>
            <w:bCs/>
          </w:rPr>
          <w:t>Figure 34</w:t>
        </w:r>
        <w:r>
          <w:rPr>
            <w:rStyle w:val="Hyperlink"/>
            <w:rFonts w:asciiTheme="minorBidi" w:hAnsiTheme="minorBidi"/>
          </w:rPr>
          <w:t xml:space="preserve"> : Figure des moyennes d'acétonurie et glucosurie</w:t>
        </w:r>
        <w:r>
          <w:tab/>
        </w:r>
        <w:r>
          <w:fldChar w:fldCharType="begin"/>
        </w:r>
        <w:r>
          <w:instrText xml:space="preserve"> PAGEREF _Toc225723037 \h </w:instrText>
        </w:r>
        <w:r>
          <w:fldChar w:fldCharType="separate"/>
        </w:r>
        <w:r w:rsidR="003462B7">
          <w:rPr>
            <w:noProof/>
          </w:rPr>
          <w:t>57</w:t>
        </w:r>
        <w:r>
          <w:fldChar w:fldCharType="end"/>
        </w:r>
      </w:hyperlink>
    </w:p>
    <w:p w14:paraId="0FD78BC7" w14:textId="07236CD1" w:rsidR="00502BB2" w:rsidRDefault="00502BB2">
      <w:pPr>
        <w:pStyle w:val="TableofFigures"/>
        <w:tabs>
          <w:tab w:val="right" w:leader="underscore" w:pos="9396"/>
        </w:tabs>
        <w:rPr>
          <w:rFonts w:eastAsiaTheme="minorEastAsia" w:cstheme="minorBidi"/>
          <w:i w:val="0"/>
          <w:iCs w:val="0"/>
          <w:sz w:val="24"/>
          <w:lang w:eastAsia="fr-FR"/>
        </w:rPr>
      </w:pPr>
      <w:hyperlink w:anchor="_Toc225723038" w:history="1">
        <w:r>
          <w:rPr>
            <w:rStyle w:val="Hyperlink"/>
            <w:rFonts w:asciiTheme="minorBidi" w:hAnsiTheme="minorBidi"/>
            <w:b/>
            <w:bCs/>
          </w:rPr>
          <w:t>Figure 35</w:t>
        </w:r>
        <w:r>
          <w:rPr>
            <w:rStyle w:val="Hyperlink"/>
            <w:rFonts w:asciiTheme="minorBidi" w:hAnsiTheme="minorBidi"/>
          </w:rPr>
          <w:t xml:space="preserve"> : figure des moyennes de Spo2</w:t>
        </w:r>
        <w:r>
          <w:tab/>
        </w:r>
        <w:r>
          <w:fldChar w:fldCharType="begin"/>
        </w:r>
        <w:r>
          <w:instrText xml:space="preserve"> PAGEREF _Toc225723038 \h </w:instrText>
        </w:r>
        <w:r>
          <w:fldChar w:fldCharType="separate"/>
        </w:r>
        <w:r w:rsidR="003462B7">
          <w:rPr>
            <w:noProof/>
          </w:rPr>
          <w:t>58</w:t>
        </w:r>
        <w:r>
          <w:fldChar w:fldCharType="end"/>
        </w:r>
      </w:hyperlink>
    </w:p>
    <w:p w14:paraId="5B1A0E0F" w14:textId="591BD5D0" w:rsidR="00502BB2" w:rsidRDefault="00502BB2">
      <w:pPr>
        <w:pStyle w:val="TableofFigures"/>
        <w:tabs>
          <w:tab w:val="right" w:leader="underscore" w:pos="9396"/>
        </w:tabs>
        <w:rPr>
          <w:rFonts w:eastAsiaTheme="minorEastAsia" w:cstheme="minorBidi"/>
          <w:i w:val="0"/>
          <w:iCs w:val="0"/>
          <w:sz w:val="24"/>
          <w:lang w:eastAsia="fr-FR"/>
        </w:rPr>
      </w:pPr>
      <w:hyperlink w:anchor="_Toc225723039" w:history="1">
        <w:r>
          <w:rPr>
            <w:rStyle w:val="Hyperlink"/>
            <w:rFonts w:asciiTheme="minorBidi" w:hAnsiTheme="minorBidi"/>
            <w:b/>
            <w:bCs/>
          </w:rPr>
          <w:t>Figure 36</w:t>
        </w:r>
        <w:r>
          <w:rPr>
            <w:rStyle w:val="Hyperlink"/>
            <w:rFonts w:asciiTheme="minorBidi" w:hAnsiTheme="minorBidi"/>
          </w:rPr>
          <w:t xml:space="preserve"> : Figure des moyennes de PO2 et PCO2</w:t>
        </w:r>
        <w:r>
          <w:tab/>
        </w:r>
        <w:r>
          <w:fldChar w:fldCharType="begin"/>
        </w:r>
        <w:r>
          <w:instrText xml:space="preserve"> PAGEREF _Toc225723039 \h </w:instrText>
        </w:r>
        <w:r>
          <w:fldChar w:fldCharType="separate"/>
        </w:r>
        <w:r w:rsidR="003462B7">
          <w:rPr>
            <w:noProof/>
          </w:rPr>
          <w:t>59</w:t>
        </w:r>
        <w:r>
          <w:fldChar w:fldCharType="end"/>
        </w:r>
      </w:hyperlink>
    </w:p>
    <w:p w14:paraId="119A3B34" w14:textId="719FC754" w:rsidR="00502BB2" w:rsidRDefault="00502BB2">
      <w:pPr>
        <w:pStyle w:val="TableofFigures"/>
        <w:tabs>
          <w:tab w:val="right" w:leader="underscore" w:pos="9396"/>
        </w:tabs>
        <w:rPr>
          <w:rFonts w:eastAsiaTheme="minorEastAsia" w:cstheme="minorBidi"/>
          <w:i w:val="0"/>
          <w:iCs w:val="0"/>
          <w:sz w:val="24"/>
          <w:lang w:eastAsia="fr-FR"/>
        </w:rPr>
      </w:pPr>
      <w:hyperlink w:anchor="_Toc225723040" w:history="1">
        <w:r>
          <w:rPr>
            <w:rStyle w:val="Hyperlink"/>
            <w:rFonts w:asciiTheme="minorBidi" w:hAnsiTheme="minorBidi"/>
            <w:b/>
            <w:bCs/>
          </w:rPr>
          <w:t>Figure 37</w:t>
        </w:r>
        <w:r>
          <w:rPr>
            <w:rStyle w:val="Hyperlink"/>
            <w:rFonts w:asciiTheme="minorBidi" w:hAnsiTheme="minorBidi"/>
          </w:rPr>
          <w:t xml:space="preserve"> : Figure des moyennes de pH</w:t>
        </w:r>
        <w:r>
          <w:tab/>
        </w:r>
        <w:r>
          <w:fldChar w:fldCharType="begin"/>
        </w:r>
        <w:r>
          <w:instrText xml:space="preserve"> PAGEREF _Toc225723040 \h </w:instrText>
        </w:r>
        <w:r>
          <w:fldChar w:fldCharType="separate"/>
        </w:r>
        <w:r w:rsidR="003462B7">
          <w:rPr>
            <w:noProof/>
          </w:rPr>
          <w:t>60</w:t>
        </w:r>
        <w:r>
          <w:fldChar w:fldCharType="end"/>
        </w:r>
      </w:hyperlink>
    </w:p>
    <w:p w14:paraId="64DE06FD" w14:textId="62757FDA" w:rsidR="00502BB2" w:rsidRDefault="00502BB2">
      <w:pPr>
        <w:pStyle w:val="TableofFigures"/>
        <w:tabs>
          <w:tab w:val="right" w:leader="underscore" w:pos="9396"/>
        </w:tabs>
        <w:rPr>
          <w:rFonts w:eastAsiaTheme="minorEastAsia" w:cstheme="minorBidi"/>
          <w:i w:val="0"/>
          <w:iCs w:val="0"/>
          <w:sz w:val="24"/>
          <w:lang w:eastAsia="fr-FR"/>
        </w:rPr>
      </w:pPr>
      <w:hyperlink w:anchor="_Toc225723041" w:history="1">
        <w:r>
          <w:rPr>
            <w:rStyle w:val="Hyperlink"/>
            <w:rFonts w:asciiTheme="minorBidi" w:hAnsiTheme="minorBidi"/>
            <w:b/>
            <w:bCs/>
          </w:rPr>
          <w:t>Figure 38</w:t>
        </w:r>
        <w:r>
          <w:rPr>
            <w:rStyle w:val="Hyperlink"/>
            <w:rFonts w:asciiTheme="minorBidi" w:hAnsiTheme="minorBidi"/>
          </w:rPr>
          <w:t xml:space="preserve"> : Figure des moyennes de Lactate et HCO3-</w:t>
        </w:r>
        <w:r>
          <w:tab/>
        </w:r>
        <w:r>
          <w:fldChar w:fldCharType="begin"/>
        </w:r>
        <w:r>
          <w:instrText xml:space="preserve"> PAGEREF _Toc225723041 \h </w:instrText>
        </w:r>
        <w:r>
          <w:fldChar w:fldCharType="separate"/>
        </w:r>
        <w:r w:rsidR="003462B7">
          <w:rPr>
            <w:noProof/>
          </w:rPr>
          <w:t>61</w:t>
        </w:r>
        <w:r>
          <w:fldChar w:fldCharType="end"/>
        </w:r>
      </w:hyperlink>
    </w:p>
    <w:p w14:paraId="34BF1498" w14:textId="0C1C7EA4" w:rsidR="00502BB2" w:rsidRDefault="00502BB2">
      <w:pPr>
        <w:pStyle w:val="TableofFigures"/>
        <w:tabs>
          <w:tab w:val="right" w:leader="underscore" w:pos="9396"/>
        </w:tabs>
        <w:rPr>
          <w:rFonts w:eastAsiaTheme="minorEastAsia" w:cstheme="minorBidi"/>
          <w:i w:val="0"/>
          <w:iCs w:val="0"/>
          <w:sz w:val="24"/>
          <w:lang w:eastAsia="fr-FR"/>
        </w:rPr>
      </w:pPr>
      <w:hyperlink w:anchor="_Toc225723042" w:history="1">
        <w:r>
          <w:rPr>
            <w:rStyle w:val="Hyperlink"/>
            <w:rFonts w:asciiTheme="minorBidi" w:hAnsiTheme="minorBidi"/>
            <w:b/>
            <w:bCs/>
          </w:rPr>
          <w:t>Figure 39</w:t>
        </w:r>
        <w:r>
          <w:rPr>
            <w:rStyle w:val="Hyperlink"/>
            <w:b/>
            <w:bCs/>
          </w:rPr>
          <w:t xml:space="preserve"> : </w:t>
        </w:r>
        <w:r>
          <w:rPr>
            <w:rStyle w:val="Hyperlink"/>
            <w:rFonts w:asciiTheme="minorBidi" w:hAnsiTheme="minorBidi"/>
          </w:rPr>
          <w:t>Figure des moyennes des électrolytes (Na+ et Cl-)</w:t>
        </w:r>
        <w:r>
          <w:tab/>
        </w:r>
        <w:r>
          <w:fldChar w:fldCharType="begin"/>
        </w:r>
        <w:r>
          <w:instrText xml:space="preserve"> PAGEREF _Toc225723042 \h </w:instrText>
        </w:r>
        <w:r>
          <w:fldChar w:fldCharType="separate"/>
        </w:r>
        <w:r w:rsidR="003462B7">
          <w:rPr>
            <w:noProof/>
          </w:rPr>
          <w:t>63</w:t>
        </w:r>
        <w:r>
          <w:fldChar w:fldCharType="end"/>
        </w:r>
      </w:hyperlink>
    </w:p>
    <w:p w14:paraId="2185C84A" w14:textId="0E3DBB9D" w:rsidR="00502BB2" w:rsidRDefault="00502BB2">
      <w:pPr>
        <w:pStyle w:val="TableofFigures"/>
        <w:tabs>
          <w:tab w:val="right" w:leader="underscore" w:pos="9396"/>
        </w:tabs>
        <w:rPr>
          <w:rFonts w:eastAsiaTheme="minorEastAsia" w:cstheme="minorBidi"/>
          <w:i w:val="0"/>
          <w:iCs w:val="0"/>
          <w:sz w:val="24"/>
          <w:lang w:eastAsia="fr-FR"/>
        </w:rPr>
      </w:pPr>
      <w:hyperlink w:anchor="_Toc225723043" w:history="1">
        <w:r>
          <w:rPr>
            <w:rStyle w:val="Hyperlink"/>
            <w:rFonts w:asciiTheme="minorBidi" w:hAnsiTheme="minorBidi"/>
            <w:b/>
            <w:bCs/>
          </w:rPr>
          <w:t>Figure 40</w:t>
        </w:r>
        <w:r>
          <w:rPr>
            <w:rStyle w:val="Hyperlink"/>
            <w:rFonts w:asciiTheme="minorBidi" w:hAnsiTheme="minorBidi"/>
          </w:rPr>
          <w:t xml:space="preserve"> : Figure des moyennes d'électrolyte K+</w:t>
        </w:r>
        <w:r>
          <w:tab/>
        </w:r>
        <w:r>
          <w:fldChar w:fldCharType="begin"/>
        </w:r>
        <w:r>
          <w:instrText xml:space="preserve"> PAGEREF _Toc225723043 \h </w:instrText>
        </w:r>
        <w:r>
          <w:fldChar w:fldCharType="separate"/>
        </w:r>
        <w:r w:rsidR="003462B7">
          <w:rPr>
            <w:noProof/>
          </w:rPr>
          <w:t>64</w:t>
        </w:r>
        <w:r>
          <w:fldChar w:fldCharType="end"/>
        </w:r>
      </w:hyperlink>
    </w:p>
    <w:p w14:paraId="246173C9" w14:textId="1FB129A6" w:rsidR="00502BB2" w:rsidRDefault="00502BB2">
      <w:pPr>
        <w:pStyle w:val="TableofFigures"/>
        <w:tabs>
          <w:tab w:val="right" w:leader="underscore" w:pos="9396"/>
        </w:tabs>
        <w:rPr>
          <w:rFonts w:eastAsiaTheme="minorEastAsia" w:cstheme="minorBidi"/>
          <w:i w:val="0"/>
          <w:iCs w:val="0"/>
          <w:sz w:val="24"/>
          <w:lang w:eastAsia="fr-FR"/>
        </w:rPr>
      </w:pPr>
      <w:hyperlink w:anchor="_Toc225723044" w:history="1">
        <w:r>
          <w:rPr>
            <w:rStyle w:val="Hyperlink"/>
            <w:rFonts w:asciiTheme="minorBidi" w:hAnsiTheme="minorBidi"/>
            <w:b/>
            <w:bCs/>
          </w:rPr>
          <w:t>Figure 41</w:t>
        </w:r>
        <w:r>
          <w:rPr>
            <w:rStyle w:val="Hyperlink"/>
            <w:rFonts w:asciiTheme="minorBidi" w:hAnsiTheme="minorBidi"/>
          </w:rPr>
          <w:t xml:space="preserve"> : Figure des moyennes du trou anionique</w:t>
        </w:r>
        <w:r>
          <w:tab/>
        </w:r>
        <w:r>
          <w:fldChar w:fldCharType="begin"/>
        </w:r>
        <w:r>
          <w:instrText xml:space="preserve"> PAGEREF _Toc225723044 \h </w:instrText>
        </w:r>
        <w:r>
          <w:fldChar w:fldCharType="separate"/>
        </w:r>
        <w:r w:rsidR="003462B7">
          <w:rPr>
            <w:noProof/>
          </w:rPr>
          <w:t>65</w:t>
        </w:r>
        <w:r>
          <w:fldChar w:fldCharType="end"/>
        </w:r>
      </w:hyperlink>
    </w:p>
    <w:p w14:paraId="49A3A2A3" w14:textId="54E6A9F1" w:rsidR="00502BB2" w:rsidRDefault="00502BB2">
      <w:pPr>
        <w:pStyle w:val="TableofFigures"/>
        <w:tabs>
          <w:tab w:val="right" w:leader="underscore" w:pos="9396"/>
        </w:tabs>
        <w:rPr>
          <w:rFonts w:eastAsiaTheme="minorEastAsia" w:cstheme="minorBidi"/>
          <w:i w:val="0"/>
          <w:iCs w:val="0"/>
          <w:sz w:val="24"/>
          <w:lang w:eastAsia="fr-FR"/>
        </w:rPr>
      </w:pPr>
      <w:hyperlink w:anchor="_Toc225723045" w:history="1">
        <w:r>
          <w:rPr>
            <w:rStyle w:val="Hyperlink"/>
            <w:rFonts w:asciiTheme="minorBidi" w:hAnsiTheme="minorBidi"/>
            <w:b/>
            <w:bCs/>
          </w:rPr>
          <w:t>Figure 42</w:t>
        </w:r>
        <w:r>
          <w:rPr>
            <w:rStyle w:val="Hyperlink"/>
            <w:rFonts w:asciiTheme="minorBidi" w:hAnsiTheme="minorBidi"/>
          </w:rPr>
          <w:t xml:space="preserve"> : Figure des moyennes d'osmolarité</w:t>
        </w:r>
        <w:r>
          <w:tab/>
        </w:r>
        <w:r>
          <w:fldChar w:fldCharType="begin"/>
        </w:r>
        <w:r>
          <w:instrText xml:space="preserve"> PAGEREF _Toc225723045 \h </w:instrText>
        </w:r>
        <w:r>
          <w:fldChar w:fldCharType="separate"/>
        </w:r>
        <w:r w:rsidR="003462B7">
          <w:rPr>
            <w:noProof/>
          </w:rPr>
          <w:t>66</w:t>
        </w:r>
        <w:r>
          <w:fldChar w:fldCharType="end"/>
        </w:r>
      </w:hyperlink>
    </w:p>
    <w:p w14:paraId="25A31F08" w14:textId="4C4F6FEA" w:rsidR="00502BB2" w:rsidRDefault="00502BB2">
      <w:pPr>
        <w:pStyle w:val="TableofFigures"/>
        <w:tabs>
          <w:tab w:val="right" w:leader="underscore" w:pos="9396"/>
        </w:tabs>
        <w:rPr>
          <w:rFonts w:eastAsiaTheme="minorEastAsia" w:cstheme="minorBidi"/>
          <w:i w:val="0"/>
          <w:iCs w:val="0"/>
          <w:sz w:val="24"/>
          <w:lang w:eastAsia="fr-FR"/>
        </w:rPr>
      </w:pPr>
      <w:hyperlink w:anchor="_Toc225723046" w:history="1">
        <w:r>
          <w:rPr>
            <w:rStyle w:val="Hyperlink"/>
            <w:rFonts w:asciiTheme="minorBidi" w:hAnsiTheme="minorBidi"/>
            <w:b/>
            <w:bCs/>
          </w:rPr>
          <w:t>Figure 43</w:t>
        </w:r>
        <w:r>
          <w:rPr>
            <w:rStyle w:val="Hyperlink"/>
            <w:rFonts w:asciiTheme="minorBidi" w:hAnsiTheme="minorBidi"/>
          </w:rPr>
          <w:t xml:space="preserve"> : Figure des moyennes de GSC</w:t>
        </w:r>
        <w:r>
          <w:tab/>
        </w:r>
        <w:r>
          <w:fldChar w:fldCharType="begin"/>
        </w:r>
        <w:r>
          <w:instrText xml:space="preserve"> PAGEREF _Toc225723046 \h </w:instrText>
        </w:r>
        <w:r>
          <w:fldChar w:fldCharType="separate"/>
        </w:r>
        <w:r w:rsidR="003462B7">
          <w:rPr>
            <w:noProof/>
          </w:rPr>
          <w:t>67</w:t>
        </w:r>
        <w:r>
          <w:fldChar w:fldCharType="end"/>
        </w:r>
      </w:hyperlink>
    </w:p>
    <w:p w14:paraId="7DEA4B3F" w14:textId="7663995E" w:rsidR="00502BB2" w:rsidRDefault="00502BB2">
      <w:pPr>
        <w:pStyle w:val="TableofFigures"/>
        <w:tabs>
          <w:tab w:val="right" w:leader="underscore" w:pos="9396"/>
        </w:tabs>
        <w:rPr>
          <w:rFonts w:eastAsiaTheme="minorEastAsia" w:cstheme="minorBidi"/>
          <w:i w:val="0"/>
          <w:iCs w:val="0"/>
          <w:sz w:val="24"/>
          <w:lang w:eastAsia="fr-FR"/>
        </w:rPr>
      </w:pPr>
      <w:hyperlink w:anchor="_Toc225723047" w:history="1">
        <w:r>
          <w:rPr>
            <w:rStyle w:val="Hyperlink"/>
            <w:rFonts w:asciiTheme="minorBidi" w:hAnsiTheme="minorBidi"/>
            <w:b/>
            <w:bCs/>
          </w:rPr>
          <w:t>Figure 44</w:t>
        </w:r>
        <w:r>
          <w:rPr>
            <w:rStyle w:val="Hyperlink"/>
            <w:rFonts w:asciiTheme="minorBidi" w:hAnsiTheme="minorBidi"/>
          </w:rPr>
          <w:t xml:space="preserve"> : Figure des moyennes de la température</w:t>
        </w:r>
        <w:r>
          <w:tab/>
        </w:r>
        <w:r>
          <w:fldChar w:fldCharType="begin"/>
        </w:r>
        <w:r>
          <w:instrText xml:space="preserve"> PAGEREF _Toc225723047 \h </w:instrText>
        </w:r>
        <w:r>
          <w:fldChar w:fldCharType="separate"/>
        </w:r>
        <w:r w:rsidR="003462B7">
          <w:rPr>
            <w:noProof/>
          </w:rPr>
          <w:t>68</w:t>
        </w:r>
        <w:r>
          <w:fldChar w:fldCharType="end"/>
        </w:r>
      </w:hyperlink>
    </w:p>
    <w:p w14:paraId="2055ABD2" w14:textId="1955505D" w:rsidR="00502BB2" w:rsidRDefault="00502BB2">
      <w:pPr>
        <w:pStyle w:val="TableofFigures"/>
        <w:tabs>
          <w:tab w:val="right" w:leader="underscore" w:pos="9396"/>
        </w:tabs>
        <w:rPr>
          <w:rFonts w:eastAsiaTheme="minorEastAsia" w:cstheme="minorBidi"/>
          <w:i w:val="0"/>
          <w:iCs w:val="0"/>
          <w:sz w:val="24"/>
          <w:lang w:eastAsia="fr-FR"/>
        </w:rPr>
      </w:pPr>
      <w:hyperlink w:anchor="_Toc225723048" w:history="1">
        <w:r>
          <w:rPr>
            <w:rStyle w:val="Hyperlink"/>
            <w:rFonts w:asciiTheme="minorBidi" w:hAnsiTheme="minorBidi"/>
            <w:b/>
            <w:bCs/>
          </w:rPr>
          <w:t>Figure 45</w:t>
        </w:r>
        <w:r>
          <w:rPr>
            <w:rStyle w:val="Hyperlink"/>
            <w:rFonts w:asciiTheme="minorBidi" w:hAnsiTheme="minorBidi"/>
          </w:rPr>
          <w:t>: Figure des moyennes de la tension artérielle</w:t>
        </w:r>
        <w:r>
          <w:tab/>
        </w:r>
        <w:r>
          <w:fldChar w:fldCharType="begin"/>
        </w:r>
        <w:r>
          <w:instrText xml:space="preserve"> PAGEREF _Toc225723048 \h </w:instrText>
        </w:r>
        <w:r>
          <w:fldChar w:fldCharType="separate"/>
        </w:r>
        <w:r w:rsidR="003462B7">
          <w:rPr>
            <w:noProof/>
          </w:rPr>
          <w:t>69</w:t>
        </w:r>
        <w:r>
          <w:fldChar w:fldCharType="end"/>
        </w:r>
      </w:hyperlink>
    </w:p>
    <w:p w14:paraId="11AD5B8D" w14:textId="7901B780" w:rsidR="00502BB2" w:rsidRDefault="00502BB2">
      <w:pPr>
        <w:pStyle w:val="TableofFigures"/>
        <w:tabs>
          <w:tab w:val="right" w:leader="underscore" w:pos="9396"/>
        </w:tabs>
        <w:rPr>
          <w:rFonts w:eastAsiaTheme="minorEastAsia" w:cstheme="minorBidi"/>
          <w:i w:val="0"/>
          <w:iCs w:val="0"/>
          <w:sz w:val="24"/>
          <w:lang w:eastAsia="fr-FR"/>
        </w:rPr>
      </w:pPr>
      <w:hyperlink w:anchor="_Toc225723049" w:history="1">
        <w:r>
          <w:rPr>
            <w:rStyle w:val="Hyperlink"/>
            <w:rFonts w:asciiTheme="minorBidi" w:hAnsiTheme="minorBidi"/>
            <w:b/>
            <w:bCs/>
          </w:rPr>
          <w:t>Figure 46</w:t>
        </w:r>
        <w:r>
          <w:rPr>
            <w:rStyle w:val="Hyperlink"/>
            <w:rFonts w:asciiTheme="minorBidi" w:hAnsiTheme="minorBidi"/>
          </w:rPr>
          <w:t xml:space="preserve"> : Figure des moyennes de la fréquence cardiaque</w:t>
        </w:r>
        <w:r>
          <w:tab/>
        </w:r>
        <w:r>
          <w:fldChar w:fldCharType="begin"/>
        </w:r>
        <w:r>
          <w:instrText xml:space="preserve"> PAGEREF _Toc225723049 \h </w:instrText>
        </w:r>
        <w:r>
          <w:fldChar w:fldCharType="separate"/>
        </w:r>
        <w:r w:rsidR="003462B7">
          <w:rPr>
            <w:noProof/>
          </w:rPr>
          <w:t>70</w:t>
        </w:r>
        <w:r>
          <w:fldChar w:fldCharType="end"/>
        </w:r>
      </w:hyperlink>
    </w:p>
    <w:p w14:paraId="429DF5E8" w14:textId="08D8D5E7" w:rsidR="00502BB2" w:rsidRDefault="00502BB2">
      <w:pPr>
        <w:pStyle w:val="TableofFigures"/>
        <w:tabs>
          <w:tab w:val="right" w:leader="underscore" w:pos="9396"/>
        </w:tabs>
        <w:rPr>
          <w:rFonts w:eastAsiaTheme="minorEastAsia" w:cstheme="minorBidi"/>
          <w:i w:val="0"/>
          <w:iCs w:val="0"/>
          <w:sz w:val="24"/>
          <w:lang w:eastAsia="fr-FR"/>
        </w:rPr>
      </w:pPr>
      <w:hyperlink w:anchor="_Toc225723050" w:history="1">
        <w:r>
          <w:rPr>
            <w:rStyle w:val="Hyperlink"/>
            <w:rFonts w:asciiTheme="minorBidi" w:hAnsiTheme="minorBidi"/>
            <w:b/>
            <w:bCs/>
          </w:rPr>
          <w:t>Figure 47</w:t>
        </w:r>
        <w:r>
          <w:rPr>
            <w:rStyle w:val="Hyperlink"/>
            <w:rFonts w:asciiTheme="minorBidi" w:hAnsiTheme="minorBidi"/>
          </w:rPr>
          <w:t xml:space="preserve"> : Figure des moyennes de la fréquence respiratoire</w:t>
        </w:r>
        <w:r>
          <w:tab/>
        </w:r>
        <w:r>
          <w:fldChar w:fldCharType="begin"/>
        </w:r>
        <w:r>
          <w:instrText xml:space="preserve"> PAGEREF _Toc225723050 \h </w:instrText>
        </w:r>
        <w:r>
          <w:fldChar w:fldCharType="separate"/>
        </w:r>
        <w:r w:rsidR="003462B7">
          <w:rPr>
            <w:noProof/>
          </w:rPr>
          <w:t>71</w:t>
        </w:r>
        <w:r>
          <w:fldChar w:fldCharType="end"/>
        </w:r>
      </w:hyperlink>
    </w:p>
    <w:p w14:paraId="40EF9C46" w14:textId="76E91ACC" w:rsidR="00502BB2" w:rsidRDefault="00502BB2">
      <w:pPr>
        <w:pStyle w:val="TableofFigures"/>
        <w:tabs>
          <w:tab w:val="right" w:leader="underscore" w:pos="9396"/>
        </w:tabs>
        <w:rPr>
          <w:rFonts w:eastAsiaTheme="minorEastAsia" w:cstheme="minorBidi"/>
          <w:i w:val="0"/>
          <w:iCs w:val="0"/>
          <w:sz w:val="24"/>
          <w:lang w:eastAsia="fr-FR"/>
        </w:rPr>
      </w:pPr>
      <w:hyperlink w:anchor="_Toc225723051" w:history="1">
        <w:r>
          <w:rPr>
            <w:rStyle w:val="Hyperlink"/>
            <w:rFonts w:asciiTheme="minorBidi" w:hAnsiTheme="minorBidi"/>
            <w:b/>
            <w:bCs/>
          </w:rPr>
          <w:t>Figure 48</w:t>
        </w:r>
        <w:r>
          <w:rPr>
            <w:rStyle w:val="Hyperlink"/>
            <w:rFonts w:asciiTheme="minorBidi" w:hAnsiTheme="minorBidi"/>
          </w:rPr>
          <w:t xml:space="preserve"> : Figure des moyennes de éléments sanguins</w:t>
        </w:r>
        <w:r>
          <w:tab/>
        </w:r>
        <w:r>
          <w:fldChar w:fldCharType="begin"/>
        </w:r>
        <w:r>
          <w:instrText xml:space="preserve"> PAGEREF _Toc225723051 \h </w:instrText>
        </w:r>
        <w:r>
          <w:fldChar w:fldCharType="separate"/>
        </w:r>
        <w:r w:rsidR="003462B7">
          <w:rPr>
            <w:noProof/>
          </w:rPr>
          <w:t>72</w:t>
        </w:r>
        <w:r>
          <w:fldChar w:fldCharType="end"/>
        </w:r>
      </w:hyperlink>
    </w:p>
    <w:p w14:paraId="434AFED9" w14:textId="49A2D2DF" w:rsidR="00502BB2" w:rsidRDefault="00502BB2">
      <w:pPr>
        <w:pStyle w:val="TableofFigures"/>
        <w:tabs>
          <w:tab w:val="right" w:leader="underscore" w:pos="9396"/>
        </w:tabs>
        <w:rPr>
          <w:rFonts w:eastAsiaTheme="minorEastAsia" w:cstheme="minorBidi"/>
          <w:i w:val="0"/>
          <w:iCs w:val="0"/>
          <w:sz w:val="24"/>
          <w:lang w:eastAsia="fr-FR"/>
        </w:rPr>
      </w:pPr>
      <w:hyperlink w:anchor="_Toc225723052" w:history="1">
        <w:r>
          <w:rPr>
            <w:rStyle w:val="Hyperlink"/>
            <w:rFonts w:asciiTheme="minorBidi" w:hAnsiTheme="minorBidi"/>
            <w:b/>
            <w:bCs/>
          </w:rPr>
          <w:t>Figure 49</w:t>
        </w:r>
        <w:r>
          <w:rPr>
            <w:rStyle w:val="Hyperlink"/>
            <w:rFonts w:asciiTheme="minorBidi" w:hAnsiTheme="minorBidi"/>
          </w:rPr>
          <w:t xml:space="preserve"> : Figure des moyennes de éléments sanguins</w:t>
        </w:r>
        <w:r>
          <w:tab/>
        </w:r>
        <w:r>
          <w:fldChar w:fldCharType="begin"/>
        </w:r>
        <w:r>
          <w:instrText xml:space="preserve"> PAGEREF _Toc225723052 \h </w:instrText>
        </w:r>
        <w:r>
          <w:fldChar w:fldCharType="separate"/>
        </w:r>
        <w:r w:rsidR="003462B7">
          <w:rPr>
            <w:noProof/>
          </w:rPr>
          <w:t>74</w:t>
        </w:r>
        <w:r>
          <w:fldChar w:fldCharType="end"/>
        </w:r>
      </w:hyperlink>
    </w:p>
    <w:p w14:paraId="2F1FA75F" w14:textId="0F08DAF2" w:rsidR="00502BB2" w:rsidRDefault="00502BB2">
      <w:pPr>
        <w:pStyle w:val="TableofFigures"/>
        <w:tabs>
          <w:tab w:val="right" w:leader="underscore" w:pos="9396"/>
        </w:tabs>
        <w:rPr>
          <w:rFonts w:eastAsiaTheme="minorEastAsia" w:cstheme="minorBidi"/>
          <w:i w:val="0"/>
          <w:iCs w:val="0"/>
          <w:sz w:val="24"/>
          <w:lang w:eastAsia="fr-FR"/>
        </w:rPr>
      </w:pPr>
      <w:hyperlink w:anchor="_Toc225723053" w:history="1">
        <w:r>
          <w:rPr>
            <w:rStyle w:val="Hyperlink"/>
            <w:rFonts w:asciiTheme="minorBidi" w:hAnsiTheme="minorBidi"/>
            <w:b/>
            <w:bCs/>
          </w:rPr>
          <w:t>Figure 50</w:t>
        </w:r>
        <w:r>
          <w:rPr>
            <w:rStyle w:val="Hyperlink"/>
            <w:rFonts w:asciiTheme="minorBidi" w:hAnsiTheme="minorBidi"/>
          </w:rPr>
          <w:t xml:space="preserve"> : Figure des moyennes des globules rouges</w:t>
        </w:r>
        <w:r>
          <w:tab/>
        </w:r>
        <w:r>
          <w:fldChar w:fldCharType="begin"/>
        </w:r>
        <w:r>
          <w:instrText xml:space="preserve"> PAGEREF _Toc225723053 \h </w:instrText>
        </w:r>
        <w:r>
          <w:fldChar w:fldCharType="separate"/>
        </w:r>
        <w:r w:rsidR="003462B7">
          <w:rPr>
            <w:noProof/>
          </w:rPr>
          <w:t>76</w:t>
        </w:r>
        <w:r>
          <w:fldChar w:fldCharType="end"/>
        </w:r>
      </w:hyperlink>
    </w:p>
    <w:p w14:paraId="6C64A780" w14:textId="3E1E4B5F" w:rsidR="00502BB2" w:rsidRDefault="00502BB2">
      <w:pPr>
        <w:pStyle w:val="TableofFigures"/>
        <w:tabs>
          <w:tab w:val="right" w:leader="underscore" w:pos="9396"/>
        </w:tabs>
        <w:rPr>
          <w:rFonts w:eastAsiaTheme="minorEastAsia" w:cstheme="minorBidi"/>
          <w:i w:val="0"/>
          <w:iCs w:val="0"/>
          <w:sz w:val="24"/>
          <w:lang w:eastAsia="fr-FR"/>
        </w:rPr>
      </w:pPr>
      <w:hyperlink w:anchor="_Toc225723054" w:history="1">
        <w:r>
          <w:rPr>
            <w:rStyle w:val="Hyperlink"/>
            <w:rFonts w:asciiTheme="minorBidi" w:hAnsiTheme="minorBidi"/>
            <w:b/>
            <w:bCs/>
          </w:rPr>
          <w:t>Figure 51</w:t>
        </w:r>
        <w:r>
          <w:rPr>
            <w:rStyle w:val="Hyperlink"/>
            <w:rFonts w:asciiTheme="minorBidi" w:hAnsiTheme="minorBidi"/>
          </w:rPr>
          <w:t xml:space="preserve"> : Figure des moyennes de CCMH et hémoglobine</w:t>
        </w:r>
        <w:r>
          <w:tab/>
        </w:r>
        <w:r>
          <w:fldChar w:fldCharType="begin"/>
        </w:r>
        <w:r>
          <w:instrText xml:space="preserve"> PAGEREF _Toc225723054 \h </w:instrText>
        </w:r>
        <w:r>
          <w:fldChar w:fldCharType="separate"/>
        </w:r>
        <w:r w:rsidR="003462B7">
          <w:rPr>
            <w:noProof/>
          </w:rPr>
          <w:t>77</w:t>
        </w:r>
        <w:r>
          <w:fldChar w:fldCharType="end"/>
        </w:r>
      </w:hyperlink>
    </w:p>
    <w:p w14:paraId="6C7AB7FB" w14:textId="0F5AA685" w:rsidR="00502BB2" w:rsidRDefault="00502BB2">
      <w:pPr>
        <w:pStyle w:val="TableofFigures"/>
        <w:tabs>
          <w:tab w:val="right" w:leader="underscore" w:pos="9396"/>
        </w:tabs>
        <w:rPr>
          <w:rFonts w:eastAsiaTheme="minorEastAsia" w:cstheme="minorBidi"/>
          <w:i w:val="0"/>
          <w:iCs w:val="0"/>
          <w:sz w:val="24"/>
          <w:lang w:eastAsia="fr-FR"/>
        </w:rPr>
      </w:pPr>
      <w:hyperlink w:anchor="_Toc225723055" w:history="1">
        <w:r>
          <w:rPr>
            <w:rStyle w:val="Hyperlink"/>
            <w:rFonts w:asciiTheme="minorBidi" w:hAnsiTheme="minorBidi"/>
            <w:b/>
            <w:bCs/>
          </w:rPr>
          <w:t>Figure 52</w:t>
        </w:r>
        <w:r>
          <w:rPr>
            <w:rStyle w:val="Hyperlink"/>
            <w:rFonts w:asciiTheme="minorBidi" w:hAnsiTheme="minorBidi"/>
          </w:rPr>
          <w:t xml:space="preserve"> : Figure des moyennes des VGM et TP</w:t>
        </w:r>
        <w:r>
          <w:tab/>
        </w:r>
        <w:r>
          <w:fldChar w:fldCharType="begin"/>
        </w:r>
        <w:r>
          <w:instrText xml:space="preserve"> PAGEREF _Toc225723055 \h </w:instrText>
        </w:r>
        <w:r>
          <w:fldChar w:fldCharType="separate"/>
        </w:r>
        <w:r w:rsidR="003462B7">
          <w:rPr>
            <w:noProof/>
          </w:rPr>
          <w:t>78</w:t>
        </w:r>
        <w:r>
          <w:fldChar w:fldCharType="end"/>
        </w:r>
      </w:hyperlink>
    </w:p>
    <w:p w14:paraId="3AF11A56" w14:textId="23E52211" w:rsidR="00502BB2" w:rsidRDefault="00502BB2">
      <w:pPr>
        <w:pStyle w:val="TableofFigures"/>
        <w:tabs>
          <w:tab w:val="right" w:leader="underscore" w:pos="9396"/>
        </w:tabs>
        <w:rPr>
          <w:rFonts w:eastAsiaTheme="minorEastAsia" w:cstheme="minorBidi"/>
          <w:i w:val="0"/>
          <w:iCs w:val="0"/>
          <w:sz w:val="24"/>
          <w:lang w:eastAsia="fr-FR"/>
        </w:rPr>
      </w:pPr>
      <w:hyperlink w:anchor="_Toc225723056" w:history="1">
        <w:r>
          <w:rPr>
            <w:rStyle w:val="Hyperlink"/>
            <w:rFonts w:asciiTheme="minorBidi" w:hAnsiTheme="minorBidi"/>
            <w:b/>
            <w:bCs/>
          </w:rPr>
          <w:t>Figure 53</w:t>
        </w:r>
        <w:r>
          <w:rPr>
            <w:rStyle w:val="Hyperlink"/>
            <w:rFonts w:asciiTheme="minorBidi" w:hAnsiTheme="minorBidi"/>
          </w:rPr>
          <w:t xml:space="preserve"> : Figure des moyennes des paramètres lipidiques</w:t>
        </w:r>
        <w:r>
          <w:tab/>
        </w:r>
        <w:r>
          <w:fldChar w:fldCharType="begin"/>
        </w:r>
        <w:r>
          <w:instrText xml:space="preserve"> PAGEREF _Toc225723056 \h </w:instrText>
        </w:r>
        <w:r>
          <w:fldChar w:fldCharType="separate"/>
        </w:r>
        <w:r w:rsidR="003462B7">
          <w:rPr>
            <w:noProof/>
          </w:rPr>
          <w:t>79</w:t>
        </w:r>
        <w:r>
          <w:fldChar w:fldCharType="end"/>
        </w:r>
      </w:hyperlink>
    </w:p>
    <w:p w14:paraId="4E8C1C59" w14:textId="6A6A4912" w:rsidR="00502BB2" w:rsidRDefault="00502BB2">
      <w:pPr>
        <w:pStyle w:val="TableofFigures"/>
        <w:tabs>
          <w:tab w:val="right" w:leader="underscore" w:pos="9396"/>
        </w:tabs>
        <w:rPr>
          <w:rFonts w:eastAsiaTheme="minorEastAsia" w:cstheme="minorBidi"/>
          <w:i w:val="0"/>
          <w:iCs w:val="0"/>
          <w:sz w:val="24"/>
          <w:lang w:eastAsia="fr-FR"/>
        </w:rPr>
      </w:pPr>
      <w:hyperlink w:anchor="_Toc225723057" w:history="1">
        <w:r>
          <w:rPr>
            <w:rStyle w:val="Hyperlink"/>
            <w:rFonts w:asciiTheme="minorBidi" w:hAnsiTheme="minorBidi"/>
            <w:b/>
            <w:bCs/>
          </w:rPr>
          <w:t>Figure 54</w:t>
        </w:r>
        <w:r>
          <w:rPr>
            <w:rStyle w:val="Hyperlink"/>
            <w:rFonts w:asciiTheme="minorBidi" w:hAnsiTheme="minorBidi"/>
          </w:rPr>
          <w:t xml:space="preserve"> : Figure des moyennes des paramètres hépatiques</w:t>
        </w:r>
        <w:r>
          <w:tab/>
        </w:r>
        <w:r>
          <w:fldChar w:fldCharType="begin"/>
        </w:r>
        <w:r>
          <w:instrText xml:space="preserve"> PAGEREF _Toc225723057 \h </w:instrText>
        </w:r>
        <w:r>
          <w:fldChar w:fldCharType="separate"/>
        </w:r>
        <w:r w:rsidR="003462B7">
          <w:rPr>
            <w:noProof/>
          </w:rPr>
          <w:t>80</w:t>
        </w:r>
        <w:r>
          <w:fldChar w:fldCharType="end"/>
        </w:r>
      </w:hyperlink>
    </w:p>
    <w:p w14:paraId="70286AA1" w14:textId="3D6E0A8E" w:rsidR="00502BB2" w:rsidRDefault="00502BB2">
      <w:pPr>
        <w:pStyle w:val="TableofFigures"/>
        <w:tabs>
          <w:tab w:val="right" w:leader="underscore" w:pos="9396"/>
        </w:tabs>
        <w:rPr>
          <w:rFonts w:eastAsiaTheme="minorEastAsia" w:cstheme="minorBidi"/>
          <w:i w:val="0"/>
          <w:iCs w:val="0"/>
          <w:sz w:val="24"/>
          <w:lang w:eastAsia="fr-FR"/>
        </w:rPr>
      </w:pPr>
      <w:hyperlink w:anchor="_Toc225723058" w:history="1">
        <w:r>
          <w:rPr>
            <w:rStyle w:val="Hyperlink"/>
            <w:rFonts w:asciiTheme="minorBidi" w:hAnsiTheme="minorBidi"/>
            <w:b/>
            <w:bCs/>
          </w:rPr>
          <w:t>Figure 55</w:t>
        </w:r>
        <w:r>
          <w:rPr>
            <w:rStyle w:val="Hyperlink"/>
            <w:rFonts w:asciiTheme="minorBidi" w:hAnsiTheme="minorBidi"/>
          </w:rPr>
          <w:t xml:space="preserve"> : Figure des moyennes du CRP</w:t>
        </w:r>
        <w:r>
          <w:tab/>
        </w:r>
        <w:r>
          <w:fldChar w:fldCharType="begin"/>
        </w:r>
        <w:r>
          <w:instrText xml:space="preserve"> PAGEREF _Toc225723058 \h </w:instrText>
        </w:r>
        <w:r>
          <w:fldChar w:fldCharType="separate"/>
        </w:r>
        <w:r w:rsidR="003462B7">
          <w:rPr>
            <w:noProof/>
          </w:rPr>
          <w:t>81</w:t>
        </w:r>
        <w:r>
          <w:fldChar w:fldCharType="end"/>
        </w:r>
      </w:hyperlink>
    </w:p>
    <w:p w14:paraId="598F9CB2" w14:textId="73E97885" w:rsidR="00502BB2" w:rsidRDefault="00502BB2">
      <w:pPr>
        <w:pStyle w:val="TableofFigures"/>
        <w:tabs>
          <w:tab w:val="right" w:leader="underscore" w:pos="9396"/>
        </w:tabs>
        <w:rPr>
          <w:rFonts w:eastAsiaTheme="minorEastAsia" w:cstheme="minorBidi"/>
          <w:i w:val="0"/>
          <w:iCs w:val="0"/>
          <w:sz w:val="24"/>
          <w:lang w:eastAsia="fr-FR"/>
        </w:rPr>
      </w:pPr>
      <w:hyperlink w:anchor="_Toc225723059" w:history="1">
        <w:r>
          <w:rPr>
            <w:rStyle w:val="Hyperlink"/>
            <w:rFonts w:asciiTheme="minorBidi" w:hAnsiTheme="minorBidi"/>
            <w:b/>
            <w:bCs/>
          </w:rPr>
          <w:t>Figure 56</w:t>
        </w:r>
        <w:r>
          <w:rPr>
            <w:rStyle w:val="Hyperlink"/>
            <w:rFonts w:asciiTheme="minorBidi" w:hAnsiTheme="minorBidi"/>
          </w:rPr>
          <w:t xml:space="preserve"> : Figure des moyennes des éléments rénales</w:t>
        </w:r>
        <w:r>
          <w:tab/>
        </w:r>
        <w:r>
          <w:fldChar w:fldCharType="begin"/>
        </w:r>
        <w:r>
          <w:instrText xml:space="preserve"> PAGEREF _Toc225723059 \h </w:instrText>
        </w:r>
        <w:r>
          <w:fldChar w:fldCharType="separate"/>
        </w:r>
        <w:r w:rsidR="003462B7">
          <w:rPr>
            <w:noProof/>
          </w:rPr>
          <w:t>82</w:t>
        </w:r>
        <w:r>
          <w:fldChar w:fldCharType="end"/>
        </w:r>
      </w:hyperlink>
    </w:p>
    <w:p w14:paraId="757B3C64" w14:textId="40249BB8" w:rsidR="00502BB2" w:rsidRDefault="00502BB2">
      <w:pPr>
        <w:pStyle w:val="TableofFigures"/>
        <w:tabs>
          <w:tab w:val="right" w:leader="underscore" w:pos="9396"/>
        </w:tabs>
        <w:rPr>
          <w:rFonts w:eastAsiaTheme="minorEastAsia" w:cstheme="minorBidi"/>
          <w:i w:val="0"/>
          <w:iCs w:val="0"/>
          <w:sz w:val="24"/>
          <w:lang w:eastAsia="fr-FR"/>
        </w:rPr>
      </w:pPr>
      <w:hyperlink w:anchor="_Toc225723060" w:history="1">
        <w:r>
          <w:rPr>
            <w:rStyle w:val="Hyperlink"/>
            <w:rFonts w:asciiTheme="minorBidi" w:hAnsiTheme="minorBidi"/>
            <w:b/>
            <w:bCs/>
          </w:rPr>
          <w:t>Figure 57</w:t>
        </w:r>
        <w:r>
          <w:rPr>
            <w:rStyle w:val="Hyperlink"/>
            <w:rFonts w:asciiTheme="minorBidi" w:hAnsiTheme="minorBidi"/>
          </w:rPr>
          <w:t xml:space="preserve"> : Figure des moyennes de la créatinine</w:t>
        </w:r>
        <w:r>
          <w:tab/>
        </w:r>
        <w:r>
          <w:fldChar w:fldCharType="begin"/>
        </w:r>
        <w:r>
          <w:instrText xml:space="preserve"> PAGEREF _Toc225723060 \h </w:instrText>
        </w:r>
        <w:r>
          <w:fldChar w:fldCharType="separate"/>
        </w:r>
        <w:r w:rsidR="003462B7">
          <w:rPr>
            <w:noProof/>
          </w:rPr>
          <w:t>83</w:t>
        </w:r>
        <w:r>
          <w:fldChar w:fldCharType="end"/>
        </w:r>
      </w:hyperlink>
    </w:p>
    <w:p w14:paraId="13C8BF78" w14:textId="7EEBB2AF" w:rsidR="00502BB2" w:rsidRDefault="00502BB2">
      <w:pPr>
        <w:pStyle w:val="TableofFigures"/>
        <w:tabs>
          <w:tab w:val="right" w:leader="underscore" w:pos="9396"/>
        </w:tabs>
        <w:rPr>
          <w:rFonts w:eastAsiaTheme="minorEastAsia" w:cstheme="minorBidi"/>
          <w:i w:val="0"/>
          <w:iCs w:val="0"/>
          <w:sz w:val="24"/>
          <w:lang w:eastAsia="fr-FR"/>
        </w:rPr>
      </w:pPr>
      <w:hyperlink w:anchor="_Toc225723061" w:history="1">
        <w:r>
          <w:rPr>
            <w:rStyle w:val="Hyperlink"/>
            <w:rFonts w:asciiTheme="minorBidi" w:hAnsiTheme="minorBidi"/>
            <w:b/>
            <w:bCs/>
          </w:rPr>
          <w:t>Figure 58</w:t>
        </w:r>
        <w:r>
          <w:rPr>
            <w:rStyle w:val="Hyperlink"/>
            <w:rFonts w:asciiTheme="minorBidi" w:hAnsiTheme="minorBidi"/>
          </w:rPr>
          <w:t xml:space="preserve"> : Figure de corrélation de Spearman</w:t>
        </w:r>
        <w:r>
          <w:tab/>
        </w:r>
        <w:r>
          <w:fldChar w:fldCharType="begin"/>
        </w:r>
        <w:r>
          <w:instrText xml:space="preserve"> PAGEREF _Toc225723061 \h </w:instrText>
        </w:r>
        <w:r>
          <w:fldChar w:fldCharType="separate"/>
        </w:r>
        <w:r w:rsidR="003462B7">
          <w:rPr>
            <w:noProof/>
          </w:rPr>
          <w:t>84</w:t>
        </w:r>
        <w:r>
          <w:fldChar w:fldCharType="end"/>
        </w:r>
      </w:hyperlink>
    </w:p>
    <w:p w14:paraId="17660AE1" w14:textId="440567B2" w:rsidR="00502BB2" w:rsidRDefault="00502BB2">
      <w:pPr>
        <w:pStyle w:val="TableofFigures"/>
        <w:tabs>
          <w:tab w:val="right" w:leader="underscore" w:pos="9396"/>
        </w:tabs>
        <w:rPr>
          <w:rFonts w:eastAsiaTheme="minorEastAsia" w:cstheme="minorBidi"/>
          <w:i w:val="0"/>
          <w:iCs w:val="0"/>
          <w:sz w:val="24"/>
          <w:lang w:eastAsia="fr-FR"/>
        </w:rPr>
      </w:pPr>
      <w:hyperlink w:anchor="_Toc225723062" w:history="1">
        <w:r>
          <w:rPr>
            <w:rStyle w:val="Hyperlink"/>
            <w:rFonts w:asciiTheme="minorBidi" w:hAnsiTheme="minorBidi"/>
            <w:b/>
            <w:bCs/>
          </w:rPr>
          <w:t>Figure 59</w:t>
        </w:r>
        <w:r>
          <w:rPr>
            <w:rStyle w:val="Hyperlink"/>
            <w:rFonts w:asciiTheme="minorBidi" w:hAnsiTheme="minorBidi"/>
          </w:rPr>
          <w:t xml:space="preserve"> : Figure du schéma de diagnostique</w:t>
        </w:r>
        <w:r>
          <w:tab/>
        </w:r>
        <w:r>
          <w:fldChar w:fldCharType="begin"/>
        </w:r>
        <w:r>
          <w:instrText xml:space="preserve"> PAGEREF _Toc225723062 \h </w:instrText>
        </w:r>
        <w:r>
          <w:fldChar w:fldCharType="separate"/>
        </w:r>
        <w:r w:rsidR="003462B7">
          <w:rPr>
            <w:noProof/>
          </w:rPr>
          <w:t>105</w:t>
        </w:r>
        <w:r>
          <w:fldChar w:fldCharType="end"/>
        </w:r>
      </w:hyperlink>
    </w:p>
    <w:p w14:paraId="40BC1AA0" w14:textId="77777777" w:rsidR="00502BB2" w:rsidRDefault="0069123E">
      <w:pPr>
        <w:bidi/>
        <w:rPr>
          <w:rFonts w:asciiTheme="minorBidi" w:hAnsiTheme="minorBidi"/>
          <w:b/>
          <w:bCs/>
          <w:sz w:val="24"/>
          <w:szCs w:val="24"/>
        </w:rPr>
        <w:sectPr w:rsidR="00502BB2">
          <w:pgSz w:w="12240" w:h="15840"/>
          <w:pgMar w:top="1417" w:right="1417" w:bottom="1417" w:left="1417" w:header="720" w:footer="720" w:gutter="0"/>
          <w:cols w:space="720"/>
        </w:sectPr>
      </w:pPr>
      <w:r>
        <w:rPr>
          <w:rFonts w:asciiTheme="minorBidi" w:hAnsiTheme="minorBidi"/>
          <w:b/>
          <w:bCs/>
          <w:sz w:val="24"/>
          <w:szCs w:val="24"/>
          <w:rtl/>
        </w:rPr>
        <w:fldChar w:fldCharType="end"/>
      </w:r>
      <w:r>
        <w:rPr>
          <w:rFonts w:asciiTheme="minorBidi" w:hAnsiTheme="minorBidi"/>
          <w:b/>
          <w:bCs/>
          <w:sz w:val="24"/>
          <w:szCs w:val="24"/>
        </w:rPr>
        <w:br w:type="page"/>
      </w:r>
    </w:p>
    <w:p w14:paraId="0B565182" w14:textId="77777777" w:rsidR="00502BB2" w:rsidRDefault="0069123E">
      <w:pPr>
        <w:pStyle w:val="Heading2"/>
        <w:spacing w:after="65"/>
        <w:ind w:left="513" w:right="501"/>
        <w:jc w:val="center"/>
      </w:pPr>
      <w:bookmarkStart w:id="4" w:name="_Toc226577312"/>
      <w:r>
        <w:rPr>
          <w:rFonts w:ascii="Tw Cen MT" w:eastAsia="Tw Cen MT" w:hAnsi="Tw Cen MT" w:cs="Tw Cen MT"/>
          <w:i/>
          <w:color w:val="000000"/>
          <w:sz w:val="48"/>
        </w:rPr>
        <w:lastRenderedPageBreak/>
        <w:t>Liste de tableaux</w:t>
      </w:r>
      <w:bookmarkEnd w:id="4"/>
      <w:r>
        <w:rPr>
          <w:rFonts w:ascii="Arial" w:eastAsia="Arial" w:hAnsi="Arial" w:cs="Arial"/>
          <w:color w:val="000000"/>
          <w:sz w:val="24"/>
        </w:rPr>
        <w:t xml:space="preserve"> </w:t>
      </w:r>
    </w:p>
    <w:p w14:paraId="0981927D" w14:textId="77777777" w:rsidR="00502BB2" w:rsidRDefault="00502BB2">
      <w:pPr>
        <w:bidi/>
        <w:rPr>
          <w:rFonts w:asciiTheme="minorBidi" w:hAnsiTheme="minorBidi"/>
          <w:b/>
          <w:bCs/>
          <w:sz w:val="24"/>
          <w:szCs w:val="24"/>
        </w:rPr>
      </w:pPr>
    </w:p>
    <w:p w14:paraId="4ADD89F8" w14:textId="35D4A863" w:rsidR="00502BB2" w:rsidRDefault="0069123E">
      <w:pPr>
        <w:pStyle w:val="TableofFigures"/>
        <w:tabs>
          <w:tab w:val="right" w:leader="underscore" w:pos="9396"/>
        </w:tabs>
        <w:rPr>
          <w:rFonts w:eastAsiaTheme="minorEastAsia" w:cstheme="minorBidi"/>
          <w:i w:val="0"/>
          <w:iCs w:val="0"/>
          <w:sz w:val="24"/>
          <w:lang w:eastAsia="fr-FR"/>
        </w:rPr>
      </w:pPr>
      <w:r>
        <w:rPr>
          <w:rFonts w:asciiTheme="minorBidi" w:hAnsiTheme="minorBidi"/>
          <w:b/>
          <w:bCs/>
          <w:sz w:val="24"/>
        </w:rPr>
        <w:fldChar w:fldCharType="begin"/>
      </w:r>
      <w:r>
        <w:rPr>
          <w:rFonts w:asciiTheme="minorBidi" w:hAnsiTheme="minorBidi"/>
          <w:b/>
          <w:bCs/>
          <w:sz w:val="24"/>
        </w:rPr>
        <w:instrText xml:space="preserve"> TOC \h \z \c "Tableau" </w:instrText>
      </w:r>
      <w:r>
        <w:rPr>
          <w:rFonts w:asciiTheme="minorBidi" w:hAnsiTheme="minorBidi"/>
          <w:b/>
          <w:bCs/>
          <w:sz w:val="24"/>
        </w:rPr>
        <w:fldChar w:fldCharType="separate"/>
      </w:r>
      <w:hyperlink w:anchor="_Toc226577296" w:history="1">
        <w:r w:rsidR="00502BB2">
          <w:rPr>
            <w:rStyle w:val="Hyperlink"/>
            <w:rFonts w:asciiTheme="minorBidi" w:hAnsiTheme="minorBidi"/>
            <w:b/>
            <w:bCs/>
          </w:rPr>
          <w:t>Tableau 1</w:t>
        </w:r>
        <w:r w:rsidR="00502BB2">
          <w:rPr>
            <w:rStyle w:val="Hyperlink"/>
          </w:rPr>
          <w:t xml:space="preserve"> : </w:t>
        </w:r>
        <w:r w:rsidR="00502BB2">
          <w:rPr>
            <w:rStyle w:val="Hyperlink"/>
            <w:rFonts w:asciiTheme="minorBidi" w:hAnsiTheme="minorBidi"/>
          </w:rPr>
          <w:t xml:space="preserve">Résumé des différentes causes de coma. </w:t>
        </w:r>
        <w:r w:rsidR="00502BB2">
          <w:rPr>
            <w:rStyle w:val="Hyperlink"/>
            <w:rFonts w:asciiTheme="minorBidi" w:hAnsiTheme="minorBidi"/>
            <w:b/>
            <w:bCs/>
          </w:rPr>
          <w:t>(Mathur, 2021)</w:t>
        </w:r>
        <w:r w:rsidR="00502BB2">
          <w:tab/>
        </w:r>
        <w:r w:rsidR="00502BB2">
          <w:fldChar w:fldCharType="begin"/>
        </w:r>
        <w:r w:rsidR="00502BB2">
          <w:instrText xml:space="preserve"> PAGEREF _Toc226577296 \h </w:instrText>
        </w:r>
        <w:r w:rsidR="00502BB2">
          <w:fldChar w:fldCharType="separate"/>
        </w:r>
        <w:r w:rsidR="003462B7">
          <w:rPr>
            <w:noProof/>
          </w:rPr>
          <w:t>7</w:t>
        </w:r>
        <w:r w:rsidR="00502BB2">
          <w:fldChar w:fldCharType="end"/>
        </w:r>
      </w:hyperlink>
    </w:p>
    <w:p w14:paraId="3002D0A7" w14:textId="2A400203" w:rsidR="00502BB2" w:rsidRDefault="00502BB2">
      <w:pPr>
        <w:pStyle w:val="TableofFigures"/>
        <w:tabs>
          <w:tab w:val="right" w:leader="underscore" w:pos="9396"/>
        </w:tabs>
        <w:rPr>
          <w:rFonts w:eastAsiaTheme="minorEastAsia" w:cstheme="minorBidi"/>
          <w:i w:val="0"/>
          <w:iCs w:val="0"/>
          <w:sz w:val="24"/>
          <w:lang w:eastAsia="fr-FR"/>
        </w:rPr>
      </w:pPr>
      <w:hyperlink w:anchor="_Toc226577297" w:history="1">
        <w:r>
          <w:rPr>
            <w:rStyle w:val="Hyperlink"/>
            <w:rFonts w:asciiTheme="minorBidi" w:hAnsiTheme="minorBidi"/>
            <w:b/>
            <w:bCs/>
          </w:rPr>
          <w:t>Tableau 2 :</w:t>
        </w:r>
        <w:r>
          <w:rPr>
            <w:rStyle w:val="Hyperlink"/>
          </w:rPr>
          <w:t xml:space="preserve"> </w:t>
        </w:r>
        <w:r>
          <w:rPr>
            <w:rStyle w:val="Hyperlink"/>
            <w:rFonts w:asciiTheme="minorBidi" w:hAnsiTheme="minorBidi"/>
          </w:rPr>
          <w:t xml:space="preserve">Score de Glasgow. </w:t>
        </w:r>
        <w:r>
          <w:rPr>
            <w:rStyle w:val="Hyperlink"/>
            <w:rFonts w:asciiTheme="minorBidi" w:hAnsiTheme="minorBidi"/>
            <w:b/>
            <w:bCs/>
          </w:rPr>
          <w:t>(Mathur, 2021)</w:t>
        </w:r>
        <w:r>
          <w:tab/>
        </w:r>
        <w:r>
          <w:fldChar w:fldCharType="begin"/>
        </w:r>
        <w:r>
          <w:instrText xml:space="preserve"> PAGEREF _Toc226577297 \h </w:instrText>
        </w:r>
        <w:r>
          <w:fldChar w:fldCharType="separate"/>
        </w:r>
        <w:r w:rsidR="003462B7">
          <w:rPr>
            <w:noProof/>
          </w:rPr>
          <w:t>12</w:t>
        </w:r>
        <w:r>
          <w:fldChar w:fldCharType="end"/>
        </w:r>
      </w:hyperlink>
    </w:p>
    <w:p w14:paraId="770B5D2C" w14:textId="52313F57" w:rsidR="00502BB2" w:rsidRDefault="00502BB2">
      <w:pPr>
        <w:pStyle w:val="TableofFigures"/>
        <w:tabs>
          <w:tab w:val="right" w:leader="underscore" w:pos="9396"/>
        </w:tabs>
        <w:rPr>
          <w:rFonts w:eastAsiaTheme="minorEastAsia" w:cstheme="minorBidi"/>
          <w:i w:val="0"/>
          <w:iCs w:val="0"/>
          <w:sz w:val="24"/>
          <w:lang w:eastAsia="fr-FR"/>
        </w:rPr>
      </w:pPr>
      <w:hyperlink w:anchor="_Toc226577298" w:history="1">
        <w:r>
          <w:rPr>
            <w:rStyle w:val="Hyperlink"/>
            <w:rFonts w:asciiTheme="minorBidi" w:hAnsiTheme="minorBidi"/>
            <w:b/>
            <w:bCs/>
          </w:rPr>
          <w:t>Tableau 3</w:t>
        </w:r>
        <w:r>
          <w:rPr>
            <w:rStyle w:val="Hyperlink"/>
          </w:rPr>
          <w:t xml:space="preserve">  </w:t>
        </w:r>
        <w:r>
          <w:rPr>
            <w:rStyle w:val="Hyperlink"/>
            <w:rFonts w:asciiTheme="minorBidi" w:hAnsiTheme="minorBidi"/>
          </w:rPr>
          <w:t>: Score</w:t>
        </w:r>
        <w:r>
          <w:rPr>
            <w:rStyle w:val="Hyperlink"/>
            <w:rFonts w:asciiTheme="minorBidi" w:hAnsiTheme="minorBidi"/>
            <w:b/>
            <w:bCs/>
          </w:rPr>
          <w:t xml:space="preserve"> </w:t>
        </w:r>
        <w:r>
          <w:rPr>
            <w:rStyle w:val="Hyperlink"/>
            <w:rFonts w:asciiTheme="minorBidi" w:hAnsiTheme="minorBidi"/>
          </w:rPr>
          <w:t xml:space="preserve">FOUR. </w:t>
        </w:r>
        <w:r>
          <w:rPr>
            <w:rStyle w:val="Hyperlink"/>
            <w:rFonts w:asciiTheme="minorBidi" w:hAnsiTheme="minorBidi"/>
            <w:b/>
            <w:bCs/>
          </w:rPr>
          <w:t>(Mathur, 2021)</w:t>
        </w:r>
        <w:r>
          <w:tab/>
        </w:r>
        <w:r>
          <w:fldChar w:fldCharType="begin"/>
        </w:r>
        <w:r>
          <w:instrText xml:space="preserve"> PAGEREF _Toc226577298 \h </w:instrText>
        </w:r>
        <w:r>
          <w:fldChar w:fldCharType="separate"/>
        </w:r>
        <w:r w:rsidR="003462B7">
          <w:rPr>
            <w:noProof/>
          </w:rPr>
          <w:t>12</w:t>
        </w:r>
        <w:r>
          <w:fldChar w:fldCharType="end"/>
        </w:r>
      </w:hyperlink>
    </w:p>
    <w:p w14:paraId="0A025E45" w14:textId="33E5ACBD" w:rsidR="00502BB2" w:rsidRDefault="00502BB2">
      <w:pPr>
        <w:pStyle w:val="TableofFigures"/>
        <w:tabs>
          <w:tab w:val="right" w:leader="underscore" w:pos="9396"/>
        </w:tabs>
        <w:rPr>
          <w:rFonts w:eastAsiaTheme="minorEastAsia" w:cstheme="minorBidi"/>
          <w:i w:val="0"/>
          <w:iCs w:val="0"/>
          <w:sz w:val="24"/>
          <w:lang w:eastAsia="fr-FR"/>
        </w:rPr>
      </w:pPr>
      <w:hyperlink w:anchor="_Toc226577299" w:history="1">
        <w:r>
          <w:rPr>
            <w:rStyle w:val="Hyperlink"/>
            <w:rFonts w:asciiTheme="minorBidi" w:hAnsiTheme="minorBidi"/>
            <w:b/>
            <w:bCs/>
          </w:rPr>
          <w:t>Tableau 4</w:t>
        </w:r>
        <w:r>
          <w:rPr>
            <w:rStyle w:val="Hyperlink"/>
            <w:rFonts w:asciiTheme="minorBidi" w:hAnsiTheme="minorBidi"/>
          </w:rPr>
          <w:t xml:space="preserve"> : Facteurs associés au DKA</w:t>
        </w:r>
        <w:r>
          <w:rPr>
            <w:rStyle w:val="Hyperlink"/>
          </w:rPr>
          <w:t xml:space="preserve">. </w:t>
        </w:r>
        <w:r>
          <w:rPr>
            <w:rStyle w:val="Hyperlink"/>
            <w:rFonts w:asciiTheme="minorBidi" w:hAnsiTheme="minorBidi"/>
            <w:b/>
            <w:bCs/>
          </w:rPr>
          <w:t xml:space="preserve"> (Umpierrez GE, 2024)</w:t>
        </w:r>
        <w:r>
          <w:tab/>
        </w:r>
        <w:r>
          <w:fldChar w:fldCharType="begin"/>
        </w:r>
        <w:r>
          <w:instrText xml:space="preserve"> PAGEREF _Toc226577299 \h </w:instrText>
        </w:r>
        <w:r>
          <w:fldChar w:fldCharType="separate"/>
        </w:r>
        <w:r w:rsidR="003462B7">
          <w:rPr>
            <w:noProof/>
          </w:rPr>
          <w:t>20</w:t>
        </w:r>
        <w:r>
          <w:fldChar w:fldCharType="end"/>
        </w:r>
      </w:hyperlink>
    </w:p>
    <w:p w14:paraId="17E72528" w14:textId="35E4EB17" w:rsidR="00502BB2" w:rsidRDefault="00502BB2">
      <w:pPr>
        <w:pStyle w:val="TableofFigures"/>
        <w:tabs>
          <w:tab w:val="right" w:leader="underscore" w:pos="9396"/>
        </w:tabs>
        <w:rPr>
          <w:rFonts w:eastAsiaTheme="minorEastAsia" w:cstheme="minorBidi"/>
          <w:i w:val="0"/>
          <w:iCs w:val="0"/>
          <w:sz w:val="24"/>
          <w:lang w:eastAsia="fr-FR"/>
        </w:rPr>
      </w:pPr>
      <w:hyperlink w:anchor="_Toc226577300" w:history="1">
        <w:r>
          <w:rPr>
            <w:rStyle w:val="Hyperlink"/>
            <w:rFonts w:asciiTheme="minorBidi" w:hAnsiTheme="minorBidi"/>
            <w:b/>
            <w:bCs/>
          </w:rPr>
          <w:t>Tableau 5</w:t>
        </w:r>
        <w:r>
          <w:rPr>
            <w:rStyle w:val="Hyperlink"/>
            <w:rFonts w:asciiTheme="minorBidi" w:hAnsiTheme="minorBidi"/>
          </w:rPr>
          <w:t xml:space="preserve"> : Critères de diagnostic et sévérité du DKA</w:t>
        </w:r>
        <w:r>
          <w:rPr>
            <w:rStyle w:val="Hyperlink"/>
          </w:rPr>
          <w:t xml:space="preserve">. </w:t>
        </w:r>
        <w:r>
          <w:rPr>
            <w:rStyle w:val="Hyperlink"/>
            <w:rFonts w:asciiTheme="minorBidi" w:hAnsiTheme="minorBidi"/>
            <w:b/>
            <w:bCs/>
          </w:rPr>
          <w:t xml:space="preserve"> (Elendu, 2023)</w:t>
        </w:r>
        <w:r>
          <w:tab/>
        </w:r>
        <w:r>
          <w:fldChar w:fldCharType="begin"/>
        </w:r>
        <w:r>
          <w:instrText xml:space="preserve"> PAGEREF _Toc226577300 \h </w:instrText>
        </w:r>
        <w:r>
          <w:fldChar w:fldCharType="separate"/>
        </w:r>
        <w:r w:rsidR="003462B7">
          <w:rPr>
            <w:noProof/>
          </w:rPr>
          <w:t>21</w:t>
        </w:r>
        <w:r>
          <w:fldChar w:fldCharType="end"/>
        </w:r>
      </w:hyperlink>
    </w:p>
    <w:p w14:paraId="198929D4" w14:textId="0277EF5B" w:rsidR="00502BB2" w:rsidRDefault="00502BB2">
      <w:pPr>
        <w:pStyle w:val="TableofFigures"/>
        <w:tabs>
          <w:tab w:val="right" w:leader="underscore" w:pos="9396"/>
        </w:tabs>
        <w:rPr>
          <w:rFonts w:eastAsiaTheme="minorEastAsia" w:cstheme="minorBidi"/>
          <w:i w:val="0"/>
          <w:iCs w:val="0"/>
          <w:sz w:val="24"/>
          <w:lang w:eastAsia="fr-FR"/>
        </w:rPr>
      </w:pPr>
      <w:hyperlink w:anchor="_Toc226577301" w:history="1">
        <w:r>
          <w:rPr>
            <w:rStyle w:val="Hyperlink"/>
            <w:rFonts w:asciiTheme="minorBidi" w:hAnsiTheme="minorBidi"/>
            <w:b/>
            <w:bCs/>
          </w:rPr>
          <w:t>Tableau 6</w:t>
        </w:r>
        <w:r>
          <w:rPr>
            <w:rStyle w:val="Hyperlink"/>
            <w:rFonts w:asciiTheme="minorBidi" w:hAnsiTheme="minorBidi"/>
          </w:rPr>
          <w:t xml:space="preserve"> : Traitements et managements des patients avec DKA</w:t>
        </w:r>
        <w:r>
          <w:rPr>
            <w:rStyle w:val="Hyperlink"/>
          </w:rPr>
          <w:t xml:space="preserve">. </w:t>
        </w:r>
        <w:r>
          <w:rPr>
            <w:rStyle w:val="Hyperlink"/>
            <w:rFonts w:asciiTheme="minorBidi" w:hAnsiTheme="minorBidi"/>
            <w:b/>
            <w:bCs/>
          </w:rPr>
          <w:t xml:space="preserve"> (Elendu, 2023)</w:t>
        </w:r>
        <w:r>
          <w:tab/>
        </w:r>
        <w:r>
          <w:fldChar w:fldCharType="begin"/>
        </w:r>
        <w:r>
          <w:instrText xml:space="preserve"> PAGEREF _Toc226577301 \h </w:instrText>
        </w:r>
        <w:r>
          <w:fldChar w:fldCharType="separate"/>
        </w:r>
        <w:r w:rsidR="003462B7">
          <w:rPr>
            <w:noProof/>
          </w:rPr>
          <w:t>22</w:t>
        </w:r>
        <w:r>
          <w:fldChar w:fldCharType="end"/>
        </w:r>
      </w:hyperlink>
    </w:p>
    <w:p w14:paraId="3E1669A1" w14:textId="2B7B62C5" w:rsidR="00502BB2" w:rsidRDefault="00502BB2">
      <w:pPr>
        <w:pStyle w:val="TableofFigures"/>
        <w:tabs>
          <w:tab w:val="right" w:leader="underscore" w:pos="9396"/>
        </w:tabs>
        <w:rPr>
          <w:rFonts w:eastAsiaTheme="minorEastAsia" w:cstheme="minorBidi"/>
          <w:i w:val="0"/>
          <w:iCs w:val="0"/>
          <w:sz w:val="24"/>
          <w:lang w:eastAsia="fr-FR"/>
        </w:rPr>
      </w:pPr>
      <w:hyperlink w:anchor="_Toc226577302" w:history="1">
        <w:r>
          <w:rPr>
            <w:rStyle w:val="Hyperlink"/>
            <w:rFonts w:asciiTheme="minorBidi" w:hAnsiTheme="minorBidi"/>
            <w:b/>
            <w:bCs/>
          </w:rPr>
          <w:t>Tableau 7</w:t>
        </w:r>
        <w:r>
          <w:rPr>
            <w:rStyle w:val="Hyperlink"/>
            <w:rFonts w:asciiTheme="minorBidi" w:hAnsiTheme="minorBidi"/>
          </w:rPr>
          <w:t xml:space="preserve"> : Le rôle de lactate dans différentes situations clinique. </w:t>
        </w:r>
        <w:r>
          <w:rPr>
            <w:rStyle w:val="Hyperlink"/>
            <w:rFonts w:asciiTheme="minorBidi" w:hAnsiTheme="minorBidi"/>
            <w:b/>
            <w:bCs/>
          </w:rPr>
          <w:t>(Deulkar P, 2024)</w:t>
        </w:r>
        <w:r>
          <w:tab/>
        </w:r>
        <w:r>
          <w:fldChar w:fldCharType="begin"/>
        </w:r>
        <w:r>
          <w:instrText xml:space="preserve"> PAGEREF _Toc226577302 \h </w:instrText>
        </w:r>
        <w:r>
          <w:fldChar w:fldCharType="separate"/>
        </w:r>
        <w:r w:rsidR="003462B7">
          <w:rPr>
            <w:noProof/>
          </w:rPr>
          <w:t>32</w:t>
        </w:r>
        <w:r>
          <w:fldChar w:fldCharType="end"/>
        </w:r>
      </w:hyperlink>
    </w:p>
    <w:p w14:paraId="7CDF277E" w14:textId="1A8796F8" w:rsidR="00502BB2" w:rsidRDefault="00502BB2">
      <w:pPr>
        <w:pStyle w:val="TableofFigures"/>
        <w:tabs>
          <w:tab w:val="right" w:leader="underscore" w:pos="9396"/>
        </w:tabs>
        <w:rPr>
          <w:rFonts w:eastAsiaTheme="minorEastAsia" w:cstheme="minorBidi"/>
          <w:i w:val="0"/>
          <w:iCs w:val="0"/>
          <w:sz w:val="24"/>
          <w:lang w:eastAsia="fr-FR"/>
        </w:rPr>
      </w:pPr>
      <w:hyperlink w:anchor="_Toc226577303" w:history="1">
        <w:r>
          <w:rPr>
            <w:rStyle w:val="Hyperlink"/>
            <w:rFonts w:asciiTheme="minorBidi" w:hAnsiTheme="minorBidi"/>
            <w:b/>
            <w:bCs/>
          </w:rPr>
          <w:t>Tableau 8 :</w:t>
        </w:r>
        <w:r>
          <w:rPr>
            <w:rStyle w:val="Hyperlink"/>
            <w:rFonts w:asciiTheme="minorBidi" w:hAnsiTheme="minorBidi"/>
          </w:rPr>
          <w:t xml:space="preserve"> Implication de la Lactylation dans différents processus physiopathologiques. </w:t>
        </w:r>
        <w:r>
          <w:rPr>
            <w:rStyle w:val="Hyperlink"/>
            <w:rFonts w:asciiTheme="minorBidi" w:hAnsiTheme="minorBidi"/>
            <w:b/>
            <w:bCs/>
          </w:rPr>
          <w:t>(Siyu Guo, 2025)</w:t>
        </w:r>
        <w:r>
          <w:tab/>
        </w:r>
        <w:r>
          <w:fldChar w:fldCharType="begin"/>
        </w:r>
        <w:r>
          <w:instrText xml:space="preserve"> PAGEREF _Toc226577303 \h </w:instrText>
        </w:r>
        <w:r>
          <w:fldChar w:fldCharType="separate"/>
        </w:r>
        <w:r w:rsidR="003462B7">
          <w:rPr>
            <w:noProof/>
          </w:rPr>
          <w:t>34</w:t>
        </w:r>
        <w:r>
          <w:fldChar w:fldCharType="end"/>
        </w:r>
      </w:hyperlink>
    </w:p>
    <w:p w14:paraId="17FAFD18" w14:textId="3B4F2111" w:rsidR="00502BB2" w:rsidRDefault="00502BB2">
      <w:pPr>
        <w:pStyle w:val="TableofFigures"/>
        <w:tabs>
          <w:tab w:val="right" w:leader="underscore" w:pos="9396"/>
        </w:tabs>
        <w:rPr>
          <w:rFonts w:eastAsiaTheme="minorEastAsia" w:cstheme="minorBidi"/>
          <w:i w:val="0"/>
          <w:iCs w:val="0"/>
          <w:sz w:val="24"/>
          <w:lang w:eastAsia="fr-FR"/>
        </w:rPr>
      </w:pPr>
      <w:hyperlink w:anchor="_Toc226577304" w:history="1">
        <w:r>
          <w:rPr>
            <w:rStyle w:val="Hyperlink"/>
            <w:rFonts w:asciiTheme="minorBidi" w:hAnsiTheme="minorBidi"/>
            <w:b/>
            <w:bCs/>
          </w:rPr>
          <w:t>Tableau 9</w:t>
        </w:r>
        <w:r>
          <w:rPr>
            <w:rStyle w:val="Hyperlink"/>
            <w:rFonts w:asciiTheme="minorBidi" w:hAnsiTheme="minorBidi"/>
          </w:rPr>
          <w:t xml:space="preserve"> : Paramètres biologiques et cliniques étudiés</w:t>
        </w:r>
        <w:r>
          <w:tab/>
        </w:r>
        <w:r>
          <w:fldChar w:fldCharType="begin"/>
        </w:r>
        <w:r>
          <w:instrText xml:space="preserve"> PAGEREF _Toc226577304 \h </w:instrText>
        </w:r>
        <w:r>
          <w:fldChar w:fldCharType="separate"/>
        </w:r>
        <w:r w:rsidR="003462B7">
          <w:rPr>
            <w:noProof/>
          </w:rPr>
          <w:t>46</w:t>
        </w:r>
        <w:r>
          <w:fldChar w:fldCharType="end"/>
        </w:r>
      </w:hyperlink>
    </w:p>
    <w:p w14:paraId="12CC3FFD" w14:textId="511FA677" w:rsidR="00502BB2" w:rsidRDefault="00502BB2">
      <w:pPr>
        <w:pStyle w:val="TableofFigures"/>
        <w:tabs>
          <w:tab w:val="right" w:leader="underscore" w:pos="9396"/>
        </w:tabs>
        <w:rPr>
          <w:rFonts w:eastAsiaTheme="minorEastAsia" w:cstheme="minorBidi"/>
          <w:i w:val="0"/>
          <w:iCs w:val="0"/>
          <w:sz w:val="24"/>
          <w:lang w:eastAsia="fr-FR"/>
        </w:rPr>
      </w:pPr>
      <w:hyperlink w:anchor="_Toc226577305" w:history="1">
        <w:r>
          <w:rPr>
            <w:rStyle w:val="Hyperlink"/>
            <w:rFonts w:asciiTheme="minorBidi" w:hAnsiTheme="minorBidi"/>
            <w:b/>
            <w:bCs/>
          </w:rPr>
          <w:t>Tableau 10</w:t>
        </w:r>
        <w:r>
          <w:rPr>
            <w:rStyle w:val="Hyperlink"/>
            <w:rFonts w:asciiTheme="minorBidi" w:hAnsiTheme="minorBidi"/>
          </w:rPr>
          <w:t xml:space="preserve"> : enquête par questionnaire</w:t>
        </w:r>
        <w:r>
          <w:tab/>
        </w:r>
        <w:r>
          <w:fldChar w:fldCharType="begin"/>
        </w:r>
        <w:r>
          <w:instrText xml:space="preserve"> PAGEREF _Toc226577305 \h </w:instrText>
        </w:r>
        <w:r>
          <w:fldChar w:fldCharType="separate"/>
        </w:r>
        <w:r w:rsidR="003462B7">
          <w:rPr>
            <w:noProof/>
          </w:rPr>
          <w:t>108</w:t>
        </w:r>
        <w:r>
          <w:fldChar w:fldCharType="end"/>
        </w:r>
      </w:hyperlink>
    </w:p>
    <w:p w14:paraId="40BF7E37" w14:textId="6D9641B3" w:rsidR="00502BB2" w:rsidRDefault="00502BB2">
      <w:pPr>
        <w:pStyle w:val="TableofFigures"/>
        <w:tabs>
          <w:tab w:val="right" w:leader="underscore" w:pos="9396"/>
        </w:tabs>
        <w:rPr>
          <w:rFonts w:eastAsiaTheme="minorEastAsia" w:cstheme="minorBidi"/>
          <w:i w:val="0"/>
          <w:iCs w:val="0"/>
          <w:sz w:val="24"/>
          <w:lang w:eastAsia="fr-FR"/>
        </w:rPr>
      </w:pPr>
      <w:hyperlink w:anchor="_Toc226577306" w:history="1">
        <w:r>
          <w:rPr>
            <w:rStyle w:val="Hyperlink"/>
            <w:rFonts w:asciiTheme="minorBidi" w:hAnsiTheme="minorBidi"/>
            <w:b/>
            <w:bCs/>
          </w:rPr>
          <w:t>Tableau 11</w:t>
        </w:r>
        <w:r>
          <w:rPr>
            <w:rStyle w:val="Hyperlink"/>
            <w:rFonts w:asciiTheme="minorBidi" w:hAnsiTheme="minorBidi"/>
          </w:rPr>
          <w:t>: Résume des résultats des variables étudiées</w:t>
        </w:r>
        <w:r>
          <w:tab/>
        </w:r>
        <w:r>
          <w:fldChar w:fldCharType="begin"/>
        </w:r>
        <w:r>
          <w:instrText xml:space="preserve"> PAGEREF _Toc226577306 \h </w:instrText>
        </w:r>
        <w:r>
          <w:fldChar w:fldCharType="separate"/>
        </w:r>
        <w:r w:rsidR="003462B7">
          <w:rPr>
            <w:noProof/>
          </w:rPr>
          <w:t>113</w:t>
        </w:r>
        <w:r>
          <w:fldChar w:fldCharType="end"/>
        </w:r>
      </w:hyperlink>
    </w:p>
    <w:p w14:paraId="0D59CB64" w14:textId="568B1F26" w:rsidR="00502BB2" w:rsidRDefault="00502BB2">
      <w:pPr>
        <w:pStyle w:val="TableofFigures"/>
        <w:tabs>
          <w:tab w:val="right" w:leader="underscore" w:pos="9396"/>
        </w:tabs>
        <w:rPr>
          <w:rFonts w:eastAsiaTheme="minorEastAsia" w:cstheme="minorBidi"/>
          <w:i w:val="0"/>
          <w:iCs w:val="0"/>
          <w:sz w:val="24"/>
          <w:lang w:eastAsia="fr-FR"/>
        </w:rPr>
      </w:pPr>
      <w:hyperlink w:anchor="_Toc226577307" w:history="1">
        <w:r>
          <w:rPr>
            <w:rStyle w:val="Hyperlink"/>
            <w:rFonts w:asciiTheme="minorBidi" w:hAnsiTheme="minorBidi"/>
            <w:b/>
            <w:bCs/>
          </w:rPr>
          <w:t>Tableau 12:</w:t>
        </w:r>
        <w:r>
          <w:rPr>
            <w:rStyle w:val="Hyperlink"/>
            <w:rFonts w:asciiTheme="minorBidi" w:hAnsiTheme="minorBidi"/>
          </w:rPr>
          <w:t xml:space="preserve"> Résumé des résultats du test de corrélation</w:t>
        </w:r>
        <w:r>
          <w:tab/>
        </w:r>
        <w:r>
          <w:fldChar w:fldCharType="begin"/>
        </w:r>
        <w:r>
          <w:instrText xml:space="preserve"> PAGEREF _Toc226577307 \h </w:instrText>
        </w:r>
        <w:r>
          <w:fldChar w:fldCharType="separate"/>
        </w:r>
        <w:r w:rsidR="003462B7">
          <w:rPr>
            <w:noProof/>
          </w:rPr>
          <w:t>114</w:t>
        </w:r>
        <w:r>
          <w:fldChar w:fldCharType="end"/>
        </w:r>
      </w:hyperlink>
    </w:p>
    <w:p w14:paraId="48DC72C6" w14:textId="77777777" w:rsidR="00502BB2" w:rsidRDefault="0069123E">
      <w:pPr>
        <w:jc w:val="both"/>
        <w:rPr>
          <w:rFonts w:asciiTheme="minorBidi" w:hAnsiTheme="minorBidi"/>
          <w:b/>
          <w:bCs/>
          <w:sz w:val="24"/>
          <w:szCs w:val="24"/>
          <w:rtl/>
        </w:rPr>
        <w:sectPr w:rsidR="00502BB2">
          <w:pgSz w:w="12240" w:h="15840"/>
          <w:pgMar w:top="1417" w:right="1417" w:bottom="1417" w:left="1417" w:header="720" w:footer="720" w:gutter="0"/>
          <w:cols w:space="720"/>
        </w:sectPr>
      </w:pPr>
      <w:r>
        <w:rPr>
          <w:rFonts w:asciiTheme="minorBidi" w:hAnsiTheme="minorBidi"/>
          <w:b/>
          <w:bCs/>
          <w:sz w:val="24"/>
          <w:szCs w:val="24"/>
        </w:rPr>
        <w:fldChar w:fldCharType="end"/>
      </w:r>
    </w:p>
    <w:p w14:paraId="4C2BFFA7" w14:textId="77777777" w:rsidR="00502BB2" w:rsidRDefault="0069123E">
      <w:pPr>
        <w:pStyle w:val="Heading2"/>
        <w:spacing w:after="127"/>
        <w:ind w:left="513" w:right="490"/>
        <w:jc w:val="center"/>
        <w:rPr>
          <w:rFonts w:ascii="Tw Cen MT" w:eastAsia="Tw Cen MT" w:hAnsi="Tw Cen MT" w:cs="Tw Cen MT"/>
          <w:i/>
          <w:color w:val="000000"/>
          <w:sz w:val="48"/>
          <w:lang w:val="en-US"/>
        </w:rPr>
      </w:pPr>
      <w:bookmarkStart w:id="5" w:name="_Toc226577313"/>
      <w:r>
        <w:rPr>
          <w:rFonts w:ascii="Tw Cen MT" w:eastAsia="Tw Cen MT" w:hAnsi="Tw Cen MT" w:cs="Tw Cen MT"/>
          <w:i/>
          <w:color w:val="000000"/>
          <w:sz w:val="48"/>
          <w:lang w:val="en-US"/>
        </w:rPr>
        <w:lastRenderedPageBreak/>
        <w:t>Abbreviations</w:t>
      </w:r>
      <w:bookmarkEnd w:id="5"/>
    </w:p>
    <w:p w14:paraId="4EFB8ED2"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ABCD’s: Airways, breathing, circulation, defibrillation</w:t>
      </w:r>
    </w:p>
    <w:p w14:paraId="23A2F05F"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AcAc: Acetoacetate</w:t>
      </w:r>
    </w:p>
    <w:p w14:paraId="3CEC3D6F"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 xml:space="preserve">ACLS: Advanced Cardiac Life Support </w:t>
      </w:r>
    </w:p>
    <w:p w14:paraId="4DFDABC2" w14:textId="77777777" w:rsidR="00502BB2" w:rsidRDefault="0069123E">
      <w:pPr>
        <w:spacing w:line="276" w:lineRule="auto"/>
        <w:rPr>
          <w:rFonts w:asciiTheme="minorBidi" w:hAnsiTheme="minorBidi"/>
          <w:sz w:val="24"/>
          <w:szCs w:val="24"/>
        </w:rPr>
      </w:pPr>
      <w:r>
        <w:rPr>
          <w:rFonts w:asciiTheme="minorBidi" w:hAnsiTheme="minorBidi"/>
          <w:sz w:val="24"/>
          <w:szCs w:val="24"/>
        </w:rPr>
        <w:t>ADH : hormone antidiurétique</w:t>
      </w:r>
    </w:p>
    <w:p w14:paraId="17B3028D" w14:textId="77777777" w:rsidR="00502BB2" w:rsidRDefault="0069123E">
      <w:pPr>
        <w:spacing w:line="276" w:lineRule="auto"/>
        <w:rPr>
          <w:rFonts w:asciiTheme="minorBidi" w:hAnsiTheme="minorBidi"/>
          <w:sz w:val="24"/>
          <w:szCs w:val="24"/>
        </w:rPr>
      </w:pPr>
      <w:r>
        <w:rPr>
          <w:rFonts w:asciiTheme="minorBidi" w:hAnsiTheme="minorBidi"/>
          <w:sz w:val="24"/>
          <w:szCs w:val="24"/>
        </w:rPr>
        <w:t>ADN : acide désoxyribonucléique</w:t>
      </w:r>
    </w:p>
    <w:p w14:paraId="4975A33A"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AG: anion gap</w:t>
      </w:r>
    </w:p>
    <w:p w14:paraId="4103D744"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 xml:space="preserve">ALT (ALAT): </w:t>
      </w:r>
      <w:r>
        <w:rPr>
          <w:rFonts w:asciiTheme="minorBidi" w:hAnsiTheme="minorBidi"/>
          <w:color w:val="0D0D0D" w:themeColor="text1" w:themeTint="F2"/>
          <w:sz w:val="24"/>
          <w:szCs w:val="24"/>
          <w:lang w:val="en-US"/>
        </w:rPr>
        <w:t xml:space="preserve">Alanine </w:t>
      </w:r>
      <w:proofErr w:type="spellStart"/>
      <w:r>
        <w:rPr>
          <w:rFonts w:asciiTheme="minorBidi" w:hAnsiTheme="minorBidi"/>
          <w:color w:val="0D0D0D" w:themeColor="text1" w:themeTint="F2"/>
          <w:sz w:val="24"/>
          <w:szCs w:val="24"/>
          <w:lang w:val="en-US"/>
        </w:rPr>
        <w:t>Aminotransférase</w:t>
      </w:r>
      <w:proofErr w:type="spellEnd"/>
    </w:p>
    <w:p w14:paraId="4B661475"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 xml:space="preserve">AST (ASAT): </w:t>
      </w:r>
      <w:r>
        <w:rPr>
          <w:rFonts w:asciiTheme="minorBidi" w:hAnsiTheme="minorBidi"/>
          <w:color w:val="0D0D0D" w:themeColor="text1" w:themeTint="F2"/>
          <w:sz w:val="24"/>
          <w:szCs w:val="24"/>
          <w:lang w:val="en-US"/>
        </w:rPr>
        <w:t xml:space="preserve">Aspartate </w:t>
      </w:r>
      <w:proofErr w:type="spellStart"/>
      <w:r>
        <w:rPr>
          <w:rFonts w:asciiTheme="minorBidi" w:hAnsiTheme="minorBidi"/>
          <w:color w:val="0D0D0D" w:themeColor="text1" w:themeTint="F2"/>
          <w:sz w:val="24"/>
          <w:szCs w:val="24"/>
          <w:lang w:val="en-US"/>
        </w:rPr>
        <w:t>Aminotransférase</w:t>
      </w:r>
      <w:proofErr w:type="spellEnd"/>
      <w:r>
        <w:rPr>
          <w:rFonts w:asciiTheme="minorBidi" w:hAnsiTheme="minorBidi"/>
          <w:sz w:val="24"/>
          <w:szCs w:val="24"/>
          <w:lang w:val="en-US"/>
        </w:rPr>
        <w:t xml:space="preserve"> </w:t>
      </w:r>
    </w:p>
    <w:p w14:paraId="262BB4A8"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ATLS: Advanced Trauma Life Support</w:t>
      </w:r>
    </w:p>
    <w:p w14:paraId="75BE56F0"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ATP: Adenosine tri-phosphate</w:t>
      </w:r>
    </w:p>
    <w:p w14:paraId="221A2116" w14:textId="77777777" w:rsidR="00502BB2" w:rsidRDefault="0069123E">
      <w:pPr>
        <w:spacing w:line="276" w:lineRule="auto"/>
        <w:rPr>
          <w:rFonts w:asciiTheme="minorBidi" w:hAnsiTheme="minorBidi"/>
          <w:sz w:val="24"/>
          <w:szCs w:val="24"/>
        </w:rPr>
      </w:pPr>
      <w:r>
        <w:rPr>
          <w:rFonts w:asciiTheme="minorBidi" w:hAnsiTheme="minorBidi"/>
          <w:sz w:val="24"/>
          <w:szCs w:val="24"/>
        </w:rPr>
        <w:t>AVC : Accident vasculaire cérébral</w:t>
      </w:r>
    </w:p>
    <w:p w14:paraId="5F74120C" w14:textId="77777777" w:rsidR="00502BB2" w:rsidRDefault="0069123E">
      <w:pPr>
        <w:spacing w:line="276" w:lineRule="auto"/>
        <w:rPr>
          <w:rFonts w:asciiTheme="minorBidi" w:hAnsiTheme="minorBidi"/>
          <w:sz w:val="24"/>
          <w:szCs w:val="24"/>
        </w:rPr>
      </w:pPr>
      <w:r>
        <w:rPr>
          <w:rFonts w:asciiTheme="minorBidi" w:hAnsiTheme="minorBidi"/>
          <w:sz w:val="24"/>
          <w:szCs w:val="24"/>
        </w:rPr>
        <w:t>BHB : bêta-hydroxybutyrate</w:t>
      </w:r>
    </w:p>
    <w:p w14:paraId="02E53406" w14:textId="77777777" w:rsidR="00502BB2" w:rsidRDefault="0069123E">
      <w:pPr>
        <w:spacing w:line="276" w:lineRule="auto"/>
        <w:rPr>
          <w:rFonts w:asciiTheme="minorBidi" w:hAnsiTheme="minorBidi"/>
          <w:sz w:val="24"/>
          <w:szCs w:val="24"/>
        </w:rPr>
      </w:pPr>
      <w:r>
        <w:rPr>
          <w:rFonts w:asciiTheme="minorBidi" w:hAnsiTheme="minorBidi"/>
          <w:sz w:val="24"/>
          <w:szCs w:val="24"/>
        </w:rPr>
        <w:t xml:space="preserve">BUN : </w:t>
      </w:r>
      <w:hyperlink r:id="rId13" w:history="1">
        <w:r w:rsidR="00502BB2">
          <w:rPr>
            <w:rStyle w:val="Hyperlink"/>
            <w:rFonts w:asciiTheme="minorBidi" w:hAnsiTheme="minorBidi"/>
            <w:color w:val="0D0D0D" w:themeColor="text1" w:themeTint="F2"/>
            <w:sz w:val="24"/>
            <w:szCs w:val="24"/>
            <w:u w:val="none"/>
          </w:rPr>
          <w:t>Azote Uréique Sanguin</w:t>
        </w:r>
      </w:hyperlink>
    </w:p>
    <w:p w14:paraId="2E097F9B" w14:textId="77777777" w:rsidR="00502BB2" w:rsidRDefault="0069123E">
      <w:pPr>
        <w:spacing w:line="276" w:lineRule="auto"/>
        <w:rPr>
          <w:rFonts w:asciiTheme="minorBidi" w:hAnsiTheme="minorBidi"/>
          <w:sz w:val="24"/>
          <w:szCs w:val="24"/>
        </w:rPr>
      </w:pPr>
      <w:r>
        <w:rPr>
          <w:rFonts w:asciiTheme="minorBidi" w:hAnsiTheme="minorBidi"/>
          <w:sz w:val="24"/>
          <w:szCs w:val="24"/>
        </w:rPr>
        <w:t>Ca2+ : Calcium</w:t>
      </w:r>
    </w:p>
    <w:p w14:paraId="3D712458" w14:textId="77777777" w:rsidR="00502BB2" w:rsidRDefault="0069123E">
      <w:pPr>
        <w:spacing w:line="276" w:lineRule="auto"/>
        <w:rPr>
          <w:rFonts w:asciiTheme="minorBidi" w:hAnsiTheme="minorBidi"/>
          <w:sz w:val="24"/>
          <w:szCs w:val="24"/>
        </w:rPr>
      </w:pPr>
      <w:r>
        <w:rPr>
          <w:rFonts w:asciiTheme="minorBidi" w:hAnsiTheme="minorBidi"/>
          <w:sz w:val="24"/>
          <w:szCs w:val="24"/>
        </w:rPr>
        <w:t xml:space="preserve">CAF : </w:t>
      </w:r>
      <w:r>
        <w:rPr>
          <w:rFonts w:asciiTheme="minorBidi" w:hAnsiTheme="minorBidi"/>
          <w:i/>
          <w:iCs/>
          <w:sz w:val="24"/>
          <w:szCs w:val="24"/>
        </w:rPr>
        <w:t>Cancer-Associated Fibroblastes</w:t>
      </w:r>
    </w:p>
    <w:p w14:paraId="388C15F1" w14:textId="77777777" w:rsidR="00502BB2" w:rsidRDefault="0069123E">
      <w:pPr>
        <w:spacing w:line="276" w:lineRule="auto"/>
        <w:rPr>
          <w:rFonts w:asciiTheme="minorBidi" w:hAnsiTheme="minorBidi"/>
          <w:sz w:val="24"/>
          <w:szCs w:val="24"/>
        </w:rPr>
      </w:pPr>
      <w:r>
        <w:rPr>
          <w:rFonts w:asciiTheme="minorBidi" w:hAnsiTheme="minorBidi"/>
          <w:sz w:val="24"/>
          <w:szCs w:val="24"/>
        </w:rPr>
        <w:t>CCMH : concentration corpusculaire moyenne</w:t>
      </w:r>
    </w:p>
    <w:p w14:paraId="71328D73" w14:textId="77777777" w:rsidR="00502BB2" w:rsidRDefault="0069123E">
      <w:pPr>
        <w:spacing w:line="276" w:lineRule="auto"/>
        <w:rPr>
          <w:rFonts w:asciiTheme="minorBidi" w:hAnsiTheme="minorBidi"/>
          <w:sz w:val="24"/>
          <w:szCs w:val="24"/>
        </w:rPr>
      </w:pPr>
      <w:r>
        <w:rPr>
          <w:rFonts w:asciiTheme="minorBidi" w:hAnsiTheme="minorBidi"/>
          <w:sz w:val="24"/>
          <w:szCs w:val="24"/>
        </w:rPr>
        <w:t>CHC : Carcinome Hépatocellulaire</w:t>
      </w:r>
    </w:p>
    <w:p w14:paraId="3B6958E2" w14:textId="77777777" w:rsidR="00502BB2" w:rsidRDefault="0069123E">
      <w:pPr>
        <w:spacing w:line="276" w:lineRule="auto"/>
        <w:rPr>
          <w:rFonts w:asciiTheme="minorBidi" w:hAnsiTheme="minorBidi"/>
          <w:sz w:val="24"/>
          <w:szCs w:val="24"/>
        </w:rPr>
      </w:pPr>
      <w:r>
        <w:rPr>
          <w:rFonts w:asciiTheme="minorBidi" w:hAnsiTheme="minorBidi"/>
          <w:sz w:val="24"/>
          <w:szCs w:val="24"/>
        </w:rPr>
        <w:t>CHU : Centre Hospitalier Universitaire</w:t>
      </w:r>
    </w:p>
    <w:p w14:paraId="5383A35A"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Chol: cholesterol</w:t>
      </w:r>
    </w:p>
    <w:p w14:paraId="7C1E97F2"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Cl-: Chlore</w:t>
      </w:r>
    </w:p>
    <w:p w14:paraId="3CB82077"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CO: Carbone</w:t>
      </w:r>
    </w:p>
    <w:p w14:paraId="7EC25150" w14:textId="77777777" w:rsidR="00502BB2" w:rsidRDefault="0069123E">
      <w:pPr>
        <w:spacing w:line="276" w:lineRule="auto"/>
        <w:rPr>
          <w:rFonts w:asciiTheme="minorBidi" w:hAnsiTheme="minorBidi"/>
          <w:sz w:val="24"/>
          <w:szCs w:val="24"/>
        </w:rPr>
      </w:pPr>
      <w:r>
        <w:rPr>
          <w:rFonts w:asciiTheme="minorBidi" w:hAnsiTheme="minorBidi"/>
          <w:sz w:val="24"/>
          <w:szCs w:val="24"/>
        </w:rPr>
        <w:t xml:space="preserve">CRP : </w:t>
      </w:r>
      <w:hyperlink r:id="rId14" w:tgtFrame="_blank" w:history="1">
        <w:r w:rsidR="00502BB2">
          <w:rPr>
            <w:rStyle w:val="Hyperlink"/>
            <w:rFonts w:asciiTheme="minorBidi" w:hAnsiTheme="minorBidi"/>
            <w:color w:val="0D0D0D" w:themeColor="text1" w:themeTint="F2"/>
            <w:sz w:val="24"/>
            <w:szCs w:val="24"/>
            <w:u w:val="none"/>
          </w:rPr>
          <w:t>Protéine C-réactive</w:t>
        </w:r>
      </w:hyperlink>
      <w:r>
        <w:rPr>
          <w:rFonts w:asciiTheme="minorBidi" w:hAnsiTheme="minorBidi"/>
          <w:color w:val="0D0D0D" w:themeColor="text1" w:themeTint="F2"/>
          <w:sz w:val="24"/>
          <w:szCs w:val="24"/>
        </w:rPr>
        <w:t> </w:t>
      </w:r>
    </w:p>
    <w:p w14:paraId="7FB67354" w14:textId="77777777" w:rsidR="00502BB2" w:rsidRDefault="0069123E">
      <w:pPr>
        <w:spacing w:line="276" w:lineRule="auto"/>
        <w:rPr>
          <w:rFonts w:asciiTheme="minorBidi" w:hAnsiTheme="minorBidi"/>
          <w:sz w:val="24"/>
          <w:szCs w:val="24"/>
        </w:rPr>
      </w:pPr>
      <w:r>
        <w:rPr>
          <w:rFonts w:asciiTheme="minorBidi" w:hAnsiTheme="minorBidi"/>
          <w:sz w:val="24"/>
          <w:szCs w:val="24"/>
        </w:rPr>
        <w:t xml:space="preserve">CRS-R : Coma </w:t>
      </w:r>
      <w:proofErr w:type="spellStart"/>
      <w:r>
        <w:rPr>
          <w:rFonts w:asciiTheme="minorBidi" w:hAnsiTheme="minorBidi"/>
          <w:sz w:val="24"/>
          <w:szCs w:val="24"/>
        </w:rPr>
        <w:t>Recovery</w:t>
      </w:r>
      <w:proofErr w:type="spellEnd"/>
      <w:r>
        <w:rPr>
          <w:rFonts w:asciiTheme="minorBidi" w:hAnsiTheme="minorBidi"/>
          <w:sz w:val="24"/>
          <w:szCs w:val="24"/>
        </w:rPr>
        <w:t xml:space="preserve"> Scale-</w:t>
      </w:r>
      <w:proofErr w:type="spellStart"/>
      <w:r>
        <w:rPr>
          <w:rFonts w:asciiTheme="minorBidi" w:hAnsiTheme="minorBidi"/>
          <w:sz w:val="24"/>
          <w:szCs w:val="24"/>
        </w:rPr>
        <w:t>Revised</w:t>
      </w:r>
      <w:proofErr w:type="spellEnd"/>
    </w:p>
    <w:p w14:paraId="157354BB" w14:textId="77777777" w:rsidR="00502BB2" w:rsidRDefault="0069123E">
      <w:pPr>
        <w:spacing w:line="276" w:lineRule="auto"/>
        <w:rPr>
          <w:rFonts w:asciiTheme="minorBidi" w:hAnsiTheme="minorBidi"/>
          <w:sz w:val="24"/>
          <w:szCs w:val="24"/>
        </w:rPr>
      </w:pPr>
      <w:r>
        <w:rPr>
          <w:rFonts w:asciiTheme="minorBidi" w:hAnsiTheme="minorBidi"/>
          <w:sz w:val="24"/>
          <w:szCs w:val="24"/>
        </w:rPr>
        <w:t>DKA : Acidocétose diabétique</w:t>
      </w:r>
    </w:p>
    <w:p w14:paraId="04863D1D" w14:textId="77777777" w:rsidR="00502BB2" w:rsidRDefault="0069123E">
      <w:pPr>
        <w:spacing w:line="276" w:lineRule="auto"/>
        <w:rPr>
          <w:rFonts w:asciiTheme="minorBidi" w:hAnsiTheme="minorBidi"/>
          <w:sz w:val="24"/>
          <w:szCs w:val="24"/>
        </w:rPr>
      </w:pPr>
      <w:r>
        <w:rPr>
          <w:rFonts w:asciiTheme="minorBidi" w:hAnsiTheme="minorBidi"/>
          <w:sz w:val="24"/>
          <w:szCs w:val="24"/>
        </w:rPr>
        <w:t>DT : diabète</w:t>
      </w:r>
    </w:p>
    <w:p w14:paraId="2CE33756" w14:textId="77777777" w:rsidR="00502BB2" w:rsidRDefault="0069123E">
      <w:pPr>
        <w:spacing w:line="276" w:lineRule="auto"/>
        <w:rPr>
          <w:rFonts w:asciiTheme="minorBidi" w:hAnsiTheme="minorBidi"/>
          <w:sz w:val="24"/>
          <w:szCs w:val="24"/>
        </w:rPr>
      </w:pPr>
      <w:r>
        <w:rPr>
          <w:rFonts w:asciiTheme="minorBidi" w:hAnsiTheme="minorBidi"/>
          <w:sz w:val="24"/>
          <w:szCs w:val="24"/>
        </w:rPr>
        <w:t>ECG :</w:t>
      </w:r>
      <w:r>
        <w:rPr>
          <w:rFonts w:asciiTheme="minorBidi" w:hAnsiTheme="minorBidi"/>
          <w:color w:val="0D0D0D" w:themeColor="text1" w:themeTint="F2"/>
          <w:sz w:val="24"/>
          <w:szCs w:val="24"/>
        </w:rPr>
        <w:t xml:space="preserve"> </w:t>
      </w:r>
      <w:hyperlink r:id="rId15" w:history="1">
        <w:r w:rsidR="00502BB2">
          <w:rPr>
            <w:rStyle w:val="Hyperlink"/>
            <w:rFonts w:asciiTheme="minorBidi" w:hAnsiTheme="minorBidi"/>
            <w:color w:val="0D0D0D" w:themeColor="text1" w:themeTint="F2"/>
            <w:sz w:val="24"/>
            <w:szCs w:val="24"/>
            <w:u w:val="none"/>
          </w:rPr>
          <w:t>électrocardiogramme</w:t>
        </w:r>
      </w:hyperlink>
    </w:p>
    <w:p w14:paraId="23CEA1C1" w14:textId="77777777" w:rsidR="00502BB2" w:rsidRDefault="0069123E">
      <w:pPr>
        <w:spacing w:line="276" w:lineRule="auto"/>
        <w:rPr>
          <w:rFonts w:asciiTheme="minorBidi" w:hAnsiTheme="minorBidi"/>
          <w:sz w:val="24"/>
          <w:szCs w:val="24"/>
        </w:rPr>
      </w:pPr>
      <w:r>
        <w:rPr>
          <w:rFonts w:asciiTheme="minorBidi" w:hAnsiTheme="minorBidi"/>
          <w:sz w:val="24"/>
          <w:szCs w:val="24"/>
        </w:rPr>
        <w:lastRenderedPageBreak/>
        <w:t>EEG : électroencéphalographie</w:t>
      </w:r>
    </w:p>
    <w:p w14:paraId="492035D7" w14:textId="77777777" w:rsidR="00502BB2" w:rsidRDefault="0069123E">
      <w:pPr>
        <w:spacing w:line="276" w:lineRule="auto"/>
        <w:rPr>
          <w:rFonts w:asciiTheme="minorBidi" w:hAnsiTheme="minorBidi"/>
          <w:sz w:val="24"/>
          <w:szCs w:val="24"/>
        </w:rPr>
      </w:pPr>
      <w:r>
        <w:rPr>
          <w:rFonts w:asciiTheme="minorBidi" w:hAnsiTheme="minorBidi"/>
          <w:sz w:val="24"/>
          <w:szCs w:val="24"/>
        </w:rPr>
        <w:t xml:space="preserve">EMT : Transition </w:t>
      </w:r>
      <w:proofErr w:type="spellStart"/>
      <w:r>
        <w:rPr>
          <w:rFonts w:asciiTheme="minorBidi" w:hAnsiTheme="minorBidi"/>
          <w:sz w:val="24"/>
          <w:szCs w:val="24"/>
        </w:rPr>
        <w:t>épithélio</w:t>
      </w:r>
      <w:proofErr w:type="spellEnd"/>
      <w:r>
        <w:rPr>
          <w:rFonts w:asciiTheme="minorBidi" w:hAnsiTheme="minorBidi"/>
          <w:sz w:val="24"/>
          <w:szCs w:val="24"/>
        </w:rPr>
        <w:t>-mésenchymateuse</w:t>
      </w:r>
    </w:p>
    <w:p w14:paraId="73BE52F1"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ESM 1: endothelial Cell-Specific Molecule-1</w:t>
      </w:r>
    </w:p>
    <w:p w14:paraId="6780DF95" w14:textId="77777777" w:rsidR="00502BB2" w:rsidRPr="00DC455F" w:rsidRDefault="0069123E">
      <w:pPr>
        <w:spacing w:line="276" w:lineRule="auto"/>
        <w:rPr>
          <w:rFonts w:asciiTheme="minorBidi" w:hAnsiTheme="minorBidi"/>
          <w:sz w:val="24"/>
          <w:szCs w:val="24"/>
        </w:rPr>
      </w:pPr>
      <w:r w:rsidRPr="00DC455F">
        <w:rPr>
          <w:rFonts w:asciiTheme="minorBidi" w:hAnsiTheme="minorBidi"/>
          <w:sz w:val="24"/>
          <w:szCs w:val="24"/>
        </w:rPr>
        <w:t>FNS : numération formule sanguine</w:t>
      </w:r>
    </w:p>
    <w:p w14:paraId="560E5708" w14:textId="77777777" w:rsidR="00502BB2" w:rsidRPr="00DC455F" w:rsidRDefault="0069123E">
      <w:pPr>
        <w:spacing w:line="276" w:lineRule="auto"/>
        <w:rPr>
          <w:rFonts w:asciiTheme="minorBidi" w:hAnsiTheme="minorBidi"/>
          <w:sz w:val="24"/>
          <w:szCs w:val="24"/>
        </w:rPr>
      </w:pPr>
      <w:proofErr w:type="spellStart"/>
      <w:r w:rsidRPr="00DC455F">
        <w:rPr>
          <w:rFonts w:asciiTheme="minorBidi" w:hAnsiTheme="minorBidi"/>
          <w:sz w:val="24"/>
          <w:szCs w:val="24"/>
        </w:rPr>
        <w:t>fMRI</w:t>
      </w:r>
      <w:proofErr w:type="spellEnd"/>
      <w:r w:rsidRPr="00DC455F">
        <w:rPr>
          <w:rFonts w:asciiTheme="minorBidi" w:hAnsiTheme="minorBidi"/>
          <w:sz w:val="24"/>
          <w:szCs w:val="24"/>
        </w:rPr>
        <w:t xml:space="preserve"> : IRM fonctionnelle</w:t>
      </w:r>
    </w:p>
    <w:p w14:paraId="7F2DAA11"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FOUR:  Full Outline of Unresponsiveness</w:t>
      </w:r>
    </w:p>
    <w:p w14:paraId="15E2380D" w14:textId="77777777" w:rsidR="00502BB2" w:rsidRPr="003462B7" w:rsidRDefault="0069123E">
      <w:pPr>
        <w:spacing w:line="276" w:lineRule="auto"/>
        <w:rPr>
          <w:rFonts w:asciiTheme="minorBidi" w:hAnsiTheme="minorBidi"/>
          <w:sz w:val="24"/>
          <w:szCs w:val="24"/>
        </w:rPr>
      </w:pPr>
      <w:proofErr w:type="gramStart"/>
      <w:r w:rsidRPr="003462B7">
        <w:rPr>
          <w:rFonts w:asciiTheme="minorBidi" w:hAnsiTheme="minorBidi"/>
          <w:sz w:val="24"/>
          <w:szCs w:val="24"/>
        </w:rPr>
        <w:t>GCS:</w:t>
      </w:r>
      <w:proofErr w:type="gramEnd"/>
      <w:r w:rsidRPr="003462B7">
        <w:rPr>
          <w:rFonts w:asciiTheme="minorBidi" w:hAnsiTheme="minorBidi"/>
          <w:sz w:val="24"/>
          <w:szCs w:val="24"/>
        </w:rPr>
        <w:t xml:space="preserve"> score de Glasgow</w:t>
      </w:r>
    </w:p>
    <w:p w14:paraId="228D1787" w14:textId="77777777" w:rsidR="00502BB2" w:rsidRDefault="0069123E">
      <w:pPr>
        <w:spacing w:line="276" w:lineRule="auto"/>
        <w:rPr>
          <w:rFonts w:asciiTheme="minorBidi" w:hAnsiTheme="minorBidi"/>
          <w:sz w:val="24"/>
          <w:szCs w:val="24"/>
        </w:rPr>
      </w:pPr>
      <w:r>
        <w:rPr>
          <w:rFonts w:asciiTheme="minorBidi" w:hAnsiTheme="minorBidi"/>
          <w:sz w:val="24"/>
          <w:szCs w:val="24"/>
        </w:rPr>
        <w:t>GLUT : Glucose Transporteurs</w:t>
      </w:r>
    </w:p>
    <w:p w14:paraId="19CC507D" w14:textId="77777777" w:rsidR="00502BB2" w:rsidRDefault="0069123E">
      <w:pPr>
        <w:spacing w:line="276" w:lineRule="auto"/>
        <w:rPr>
          <w:rFonts w:asciiTheme="minorBidi" w:hAnsiTheme="minorBidi"/>
          <w:sz w:val="24"/>
          <w:szCs w:val="24"/>
        </w:rPr>
      </w:pPr>
      <w:r>
        <w:rPr>
          <w:rFonts w:asciiTheme="minorBidi" w:hAnsiTheme="minorBidi"/>
          <w:sz w:val="24"/>
          <w:szCs w:val="24"/>
        </w:rPr>
        <w:t>H3K18 : Histone H3 lysine 18</w:t>
      </w:r>
    </w:p>
    <w:p w14:paraId="4E3898F6" w14:textId="77777777" w:rsidR="00502BB2" w:rsidRDefault="0069123E">
      <w:pPr>
        <w:spacing w:line="276" w:lineRule="auto"/>
        <w:rPr>
          <w:rFonts w:asciiTheme="minorBidi" w:hAnsiTheme="minorBidi"/>
          <w:sz w:val="24"/>
          <w:szCs w:val="24"/>
        </w:rPr>
      </w:pPr>
      <w:r>
        <w:rPr>
          <w:rFonts w:asciiTheme="minorBidi" w:hAnsiTheme="minorBidi"/>
          <w:sz w:val="24"/>
          <w:szCs w:val="24"/>
        </w:rPr>
        <w:t>H3K18la : Histone H3 lysine 18 Lactylation</w:t>
      </w:r>
    </w:p>
    <w:p w14:paraId="6C50EF21" w14:textId="77777777" w:rsidR="00502BB2" w:rsidRDefault="0069123E">
      <w:pPr>
        <w:spacing w:line="276" w:lineRule="auto"/>
        <w:rPr>
          <w:rFonts w:asciiTheme="minorBidi" w:hAnsiTheme="minorBidi"/>
          <w:sz w:val="24"/>
          <w:szCs w:val="24"/>
        </w:rPr>
      </w:pPr>
      <w:proofErr w:type="spellStart"/>
      <w:r>
        <w:rPr>
          <w:rFonts w:asciiTheme="minorBidi" w:hAnsiTheme="minorBidi"/>
          <w:sz w:val="24"/>
          <w:szCs w:val="24"/>
        </w:rPr>
        <w:t>Hb</w:t>
      </w:r>
      <w:proofErr w:type="spellEnd"/>
      <w:r>
        <w:rPr>
          <w:rFonts w:asciiTheme="minorBidi" w:hAnsiTheme="minorBidi"/>
          <w:sz w:val="24"/>
          <w:szCs w:val="24"/>
        </w:rPr>
        <w:t xml:space="preserve"> : hémoglobine</w:t>
      </w:r>
    </w:p>
    <w:p w14:paraId="77F2B60D" w14:textId="77777777" w:rsidR="00502BB2" w:rsidRDefault="0069123E">
      <w:pPr>
        <w:spacing w:line="276" w:lineRule="auto"/>
        <w:rPr>
          <w:rFonts w:asciiTheme="minorBidi" w:hAnsiTheme="minorBidi"/>
          <w:b/>
          <w:bCs/>
          <w:sz w:val="24"/>
          <w:szCs w:val="24"/>
        </w:rPr>
      </w:pPr>
      <w:r>
        <w:rPr>
          <w:rFonts w:asciiTheme="minorBidi" w:hAnsiTheme="minorBidi"/>
          <w:sz w:val="24"/>
          <w:szCs w:val="24"/>
        </w:rPr>
        <w:t>HbA1c : Hémoglobine glyquée</w:t>
      </w:r>
    </w:p>
    <w:p w14:paraId="353F14AC" w14:textId="77777777" w:rsidR="00502BB2" w:rsidRPr="00DC455F" w:rsidRDefault="0069123E">
      <w:pPr>
        <w:spacing w:line="276" w:lineRule="auto"/>
        <w:rPr>
          <w:rFonts w:asciiTheme="minorBidi" w:hAnsiTheme="minorBidi"/>
          <w:sz w:val="24"/>
          <w:szCs w:val="24"/>
          <w:lang w:val="en-US"/>
        </w:rPr>
      </w:pPr>
      <w:r w:rsidRPr="00DC455F">
        <w:rPr>
          <w:rFonts w:asciiTheme="minorBidi" w:hAnsiTheme="minorBidi"/>
          <w:sz w:val="24"/>
          <w:szCs w:val="24"/>
          <w:lang w:val="en-US"/>
        </w:rPr>
        <w:t>HCAR: Hydroxycarboxylic Acid Receptor</w:t>
      </w:r>
    </w:p>
    <w:p w14:paraId="5008DF61" w14:textId="2A6702AD" w:rsidR="00502BB2" w:rsidRPr="00DC455F" w:rsidRDefault="0069123E">
      <w:pPr>
        <w:spacing w:line="276" w:lineRule="auto"/>
        <w:rPr>
          <w:rFonts w:asciiTheme="minorBidi" w:hAnsiTheme="minorBidi"/>
          <w:sz w:val="24"/>
          <w:szCs w:val="24"/>
          <w:lang w:val="en-US"/>
        </w:rPr>
      </w:pPr>
      <w:r w:rsidRPr="00DC455F">
        <w:rPr>
          <w:rFonts w:asciiTheme="minorBidi" w:hAnsiTheme="minorBidi"/>
          <w:sz w:val="24"/>
          <w:szCs w:val="24"/>
          <w:lang w:val="en-US"/>
        </w:rPr>
        <w:t>HCO</w:t>
      </w:r>
      <w:r w:rsidRPr="00DC455F">
        <w:rPr>
          <w:rFonts w:ascii="Cambria Math" w:hAnsi="Cambria Math" w:cs="Cambria Math"/>
          <w:sz w:val="24"/>
          <w:szCs w:val="24"/>
          <w:lang w:val="en-US"/>
        </w:rPr>
        <w:t>₃⁻</w:t>
      </w:r>
      <w:r w:rsidRPr="00DC455F">
        <w:rPr>
          <w:rFonts w:asciiTheme="minorBidi" w:hAnsiTheme="minorBidi"/>
          <w:sz w:val="24"/>
          <w:szCs w:val="24"/>
          <w:lang w:val="en-US"/>
        </w:rPr>
        <w:t xml:space="preserve">: </w:t>
      </w:r>
      <w:r w:rsidR="003462B7" w:rsidRPr="00DC455F">
        <w:rPr>
          <w:rFonts w:asciiTheme="minorBidi" w:hAnsiTheme="minorBidi"/>
          <w:sz w:val="24"/>
          <w:szCs w:val="24"/>
          <w:lang w:val="en-US"/>
        </w:rPr>
        <w:t>Bicarbonate</w:t>
      </w:r>
    </w:p>
    <w:p w14:paraId="7F6E5E5B" w14:textId="77777777" w:rsidR="00502BB2" w:rsidRDefault="0069123E">
      <w:pPr>
        <w:spacing w:line="276" w:lineRule="auto"/>
        <w:rPr>
          <w:rFonts w:asciiTheme="minorBidi" w:hAnsiTheme="minorBidi"/>
          <w:sz w:val="24"/>
          <w:szCs w:val="24"/>
        </w:rPr>
      </w:pPr>
      <w:r>
        <w:rPr>
          <w:rFonts w:asciiTheme="minorBidi" w:hAnsiTheme="minorBidi"/>
          <w:sz w:val="24"/>
          <w:szCs w:val="24"/>
        </w:rPr>
        <w:t>HDAC : histone désacétylase</w:t>
      </w:r>
    </w:p>
    <w:p w14:paraId="4826CC42" w14:textId="77777777" w:rsidR="00502BB2" w:rsidRDefault="0069123E">
      <w:pPr>
        <w:spacing w:line="276" w:lineRule="auto"/>
        <w:rPr>
          <w:rFonts w:asciiTheme="minorBidi" w:hAnsiTheme="minorBidi"/>
          <w:sz w:val="24"/>
          <w:szCs w:val="24"/>
        </w:rPr>
      </w:pPr>
      <w:r>
        <w:rPr>
          <w:rFonts w:asciiTheme="minorBidi" w:hAnsiTheme="minorBidi"/>
          <w:sz w:val="24"/>
          <w:szCs w:val="24"/>
        </w:rPr>
        <w:t>H/F : homme/femme</w:t>
      </w:r>
    </w:p>
    <w:p w14:paraId="1376DBEB" w14:textId="77777777" w:rsidR="00502BB2" w:rsidRDefault="0069123E">
      <w:pPr>
        <w:spacing w:line="276" w:lineRule="auto"/>
        <w:rPr>
          <w:rFonts w:asciiTheme="minorBidi" w:hAnsiTheme="minorBidi"/>
          <w:sz w:val="24"/>
          <w:szCs w:val="24"/>
        </w:rPr>
      </w:pPr>
      <w:r>
        <w:rPr>
          <w:rFonts w:asciiTheme="minorBidi" w:hAnsiTheme="minorBidi"/>
          <w:sz w:val="24"/>
          <w:szCs w:val="24"/>
        </w:rPr>
        <w:t>HHS : syndrome hyperosmolaire hyperglycémique </w:t>
      </w:r>
    </w:p>
    <w:p w14:paraId="51DF74FA" w14:textId="77777777" w:rsidR="00502BB2" w:rsidRDefault="0069123E">
      <w:pPr>
        <w:spacing w:line="276" w:lineRule="auto"/>
        <w:rPr>
          <w:rFonts w:asciiTheme="minorBidi" w:hAnsiTheme="minorBidi"/>
          <w:sz w:val="24"/>
          <w:szCs w:val="24"/>
        </w:rPr>
      </w:pPr>
      <w:r>
        <w:rPr>
          <w:rFonts w:asciiTheme="minorBidi" w:hAnsiTheme="minorBidi"/>
          <w:sz w:val="24"/>
          <w:szCs w:val="24"/>
        </w:rPr>
        <w:t>HMG-CoA : 3--hydroxy-3-méthylglutaryl-CoA</w:t>
      </w:r>
    </w:p>
    <w:p w14:paraId="049773EA" w14:textId="77777777" w:rsidR="00502BB2" w:rsidRDefault="0069123E">
      <w:pPr>
        <w:spacing w:line="276" w:lineRule="auto"/>
        <w:rPr>
          <w:rFonts w:asciiTheme="minorBidi" w:hAnsiTheme="minorBidi"/>
          <w:sz w:val="24"/>
          <w:szCs w:val="24"/>
        </w:rPr>
      </w:pPr>
      <w:r>
        <w:rPr>
          <w:rFonts w:asciiTheme="minorBidi" w:hAnsiTheme="minorBidi"/>
          <w:sz w:val="24"/>
          <w:szCs w:val="24"/>
        </w:rPr>
        <w:t>Hsp60 K469/473 :</w:t>
      </w:r>
    </w:p>
    <w:p w14:paraId="41468A5C" w14:textId="77777777" w:rsidR="00502BB2" w:rsidRDefault="0069123E">
      <w:pPr>
        <w:spacing w:line="276" w:lineRule="auto"/>
        <w:rPr>
          <w:rFonts w:asciiTheme="minorBidi" w:hAnsiTheme="minorBidi"/>
          <w:sz w:val="24"/>
          <w:szCs w:val="24"/>
        </w:rPr>
      </w:pPr>
      <w:r>
        <w:rPr>
          <w:rFonts w:asciiTheme="minorBidi" w:hAnsiTheme="minorBidi"/>
          <w:sz w:val="24"/>
          <w:szCs w:val="24"/>
        </w:rPr>
        <w:t>HTA : hypertension artérielle</w:t>
      </w:r>
    </w:p>
    <w:p w14:paraId="4A36C7A9" w14:textId="77777777" w:rsidR="00502BB2" w:rsidRDefault="0069123E">
      <w:pPr>
        <w:spacing w:line="276" w:lineRule="auto"/>
        <w:rPr>
          <w:rFonts w:asciiTheme="minorBidi" w:hAnsiTheme="minorBidi"/>
          <w:sz w:val="24"/>
          <w:szCs w:val="24"/>
        </w:rPr>
      </w:pPr>
      <w:r>
        <w:rPr>
          <w:rFonts w:asciiTheme="minorBidi" w:hAnsiTheme="minorBidi"/>
          <w:sz w:val="24"/>
          <w:szCs w:val="24"/>
        </w:rPr>
        <w:t>IL : interleukine</w:t>
      </w:r>
    </w:p>
    <w:p w14:paraId="329668E0" w14:textId="77777777" w:rsidR="00502BB2" w:rsidRDefault="0069123E">
      <w:pPr>
        <w:spacing w:line="276" w:lineRule="auto"/>
        <w:rPr>
          <w:rFonts w:asciiTheme="minorBidi" w:hAnsiTheme="minorBidi"/>
          <w:sz w:val="24"/>
          <w:szCs w:val="24"/>
        </w:rPr>
      </w:pPr>
      <w:r>
        <w:rPr>
          <w:rFonts w:asciiTheme="minorBidi" w:hAnsiTheme="minorBidi"/>
          <w:sz w:val="24"/>
          <w:szCs w:val="24"/>
        </w:rPr>
        <w:t>IRC : insuffisance rénale chronique </w:t>
      </w:r>
    </w:p>
    <w:p w14:paraId="4F4221FB" w14:textId="77777777" w:rsidR="00502BB2" w:rsidRDefault="0069123E">
      <w:pPr>
        <w:spacing w:line="276" w:lineRule="auto"/>
        <w:rPr>
          <w:rFonts w:asciiTheme="minorBidi" w:hAnsiTheme="minorBidi"/>
          <w:sz w:val="24"/>
          <w:szCs w:val="24"/>
        </w:rPr>
      </w:pPr>
      <w:r>
        <w:rPr>
          <w:rFonts w:asciiTheme="minorBidi" w:hAnsiTheme="minorBidi"/>
          <w:sz w:val="24"/>
          <w:szCs w:val="24"/>
        </w:rPr>
        <w:t xml:space="preserve">IRS-1 : </w:t>
      </w:r>
      <w:hyperlink r:id="rId16" w:history="1">
        <w:r w:rsidR="00502BB2">
          <w:rPr>
            <w:rStyle w:val="Hyperlink"/>
            <w:rFonts w:asciiTheme="minorBidi" w:hAnsiTheme="minorBidi"/>
            <w:color w:val="0D0D0D" w:themeColor="text1" w:themeTint="F2"/>
            <w:sz w:val="24"/>
            <w:szCs w:val="24"/>
            <w:u w:val="none"/>
          </w:rPr>
          <w:t>substrat 1 du récepteur de l'insuline</w:t>
        </w:r>
      </w:hyperlink>
    </w:p>
    <w:p w14:paraId="371E7466" w14:textId="77777777" w:rsidR="00502BB2" w:rsidRDefault="0069123E">
      <w:pPr>
        <w:spacing w:line="276" w:lineRule="auto"/>
        <w:rPr>
          <w:rFonts w:asciiTheme="minorBidi" w:hAnsiTheme="minorBidi"/>
          <w:sz w:val="24"/>
          <w:szCs w:val="24"/>
        </w:rPr>
      </w:pPr>
      <w:r>
        <w:rPr>
          <w:rFonts w:asciiTheme="minorBidi" w:hAnsiTheme="minorBidi"/>
          <w:sz w:val="24"/>
          <w:szCs w:val="24"/>
        </w:rPr>
        <w:t>IRM : imagerie par résonance magnétique</w:t>
      </w:r>
    </w:p>
    <w:p w14:paraId="26643B35" w14:textId="77777777" w:rsidR="00502BB2" w:rsidRDefault="0069123E">
      <w:pPr>
        <w:spacing w:line="276" w:lineRule="auto"/>
        <w:rPr>
          <w:rFonts w:asciiTheme="minorBidi" w:hAnsiTheme="minorBidi"/>
          <w:sz w:val="24"/>
          <w:szCs w:val="24"/>
        </w:rPr>
      </w:pPr>
      <w:r>
        <w:rPr>
          <w:rFonts w:asciiTheme="minorBidi" w:hAnsiTheme="minorBidi"/>
          <w:sz w:val="24"/>
          <w:szCs w:val="24"/>
        </w:rPr>
        <w:t>IV : intraveineux</w:t>
      </w:r>
    </w:p>
    <w:p w14:paraId="6E402509" w14:textId="77777777" w:rsidR="00502BB2" w:rsidRDefault="0069123E">
      <w:pPr>
        <w:spacing w:line="276" w:lineRule="auto"/>
        <w:rPr>
          <w:rFonts w:asciiTheme="minorBidi" w:hAnsiTheme="minorBidi"/>
          <w:sz w:val="24"/>
          <w:szCs w:val="24"/>
        </w:rPr>
      </w:pPr>
      <w:r>
        <w:rPr>
          <w:rFonts w:asciiTheme="minorBidi" w:hAnsiTheme="minorBidi"/>
          <w:sz w:val="24"/>
          <w:szCs w:val="24"/>
        </w:rPr>
        <w:t>K+ : Potassium</w:t>
      </w:r>
    </w:p>
    <w:p w14:paraId="2DD9C0BC" w14:textId="77777777" w:rsidR="00502BB2" w:rsidRDefault="0069123E">
      <w:pPr>
        <w:spacing w:line="276" w:lineRule="auto"/>
        <w:rPr>
          <w:rFonts w:asciiTheme="minorBidi" w:hAnsiTheme="minorBidi"/>
          <w:sz w:val="24"/>
          <w:szCs w:val="24"/>
        </w:rPr>
      </w:pPr>
      <w:r>
        <w:rPr>
          <w:rFonts w:asciiTheme="minorBidi" w:hAnsiTheme="minorBidi"/>
          <w:sz w:val="24"/>
          <w:szCs w:val="24"/>
        </w:rPr>
        <w:t>LCS :  liquide cérébrospinal</w:t>
      </w:r>
    </w:p>
    <w:p w14:paraId="15C3A685" w14:textId="77777777" w:rsidR="00502BB2" w:rsidRDefault="0069123E">
      <w:pPr>
        <w:spacing w:line="276" w:lineRule="auto"/>
        <w:rPr>
          <w:rFonts w:asciiTheme="minorBidi" w:hAnsiTheme="minorBidi"/>
          <w:sz w:val="24"/>
          <w:szCs w:val="24"/>
        </w:rPr>
      </w:pPr>
      <w:r>
        <w:rPr>
          <w:rFonts w:asciiTheme="minorBidi" w:hAnsiTheme="minorBidi"/>
          <w:sz w:val="24"/>
          <w:szCs w:val="24"/>
        </w:rPr>
        <w:lastRenderedPageBreak/>
        <w:t>LDH : lactate déshydrogénase</w:t>
      </w:r>
    </w:p>
    <w:p w14:paraId="0DD7F4F7" w14:textId="77777777" w:rsidR="00502BB2" w:rsidRDefault="0069123E">
      <w:pPr>
        <w:spacing w:line="276" w:lineRule="auto"/>
        <w:rPr>
          <w:rFonts w:asciiTheme="minorBidi" w:hAnsiTheme="minorBidi"/>
          <w:sz w:val="24"/>
          <w:szCs w:val="24"/>
        </w:rPr>
      </w:pPr>
      <w:r>
        <w:rPr>
          <w:rFonts w:asciiTheme="minorBidi" w:hAnsiTheme="minorBidi"/>
          <w:sz w:val="24"/>
          <w:szCs w:val="24"/>
        </w:rPr>
        <w:t xml:space="preserve">MCT : Transporteur de </w:t>
      </w:r>
      <w:proofErr w:type="spellStart"/>
      <w:r>
        <w:rPr>
          <w:rFonts w:asciiTheme="minorBidi" w:hAnsiTheme="minorBidi"/>
          <w:sz w:val="24"/>
          <w:szCs w:val="24"/>
        </w:rPr>
        <w:t>Monocarboxylate</w:t>
      </w:r>
      <w:proofErr w:type="spellEnd"/>
    </w:p>
    <w:p w14:paraId="30DD677F" w14:textId="77777777" w:rsidR="00502BB2" w:rsidRDefault="0069123E">
      <w:pPr>
        <w:spacing w:line="276" w:lineRule="auto"/>
        <w:rPr>
          <w:rFonts w:asciiTheme="minorBidi" w:hAnsiTheme="minorBidi"/>
          <w:sz w:val="24"/>
          <w:szCs w:val="24"/>
        </w:rPr>
      </w:pPr>
      <w:r>
        <w:rPr>
          <w:rFonts w:asciiTheme="minorBidi" w:hAnsiTheme="minorBidi"/>
          <w:sz w:val="24"/>
          <w:szCs w:val="24"/>
        </w:rPr>
        <w:t>MI : médecine interne</w:t>
      </w:r>
    </w:p>
    <w:p w14:paraId="38D83CB8"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 xml:space="preserve">mTOR : </w:t>
      </w:r>
      <w:hyperlink r:id="rId17" w:history="1">
        <w:r w:rsidR="00502BB2">
          <w:rPr>
            <w:rStyle w:val="Hyperlink"/>
            <w:rFonts w:asciiTheme="minorBidi" w:hAnsiTheme="minorBidi"/>
            <w:color w:val="0D0D0D" w:themeColor="text1" w:themeTint="F2"/>
            <w:sz w:val="24"/>
            <w:szCs w:val="24"/>
            <w:u w:val="none"/>
            <w:lang w:val="en-US"/>
          </w:rPr>
          <w:t>mechanistic Target of Rapamycin</w:t>
        </w:r>
      </w:hyperlink>
    </w:p>
    <w:p w14:paraId="5A9E208E"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Na+: Sodium</w:t>
      </w:r>
    </w:p>
    <w:p w14:paraId="7F53CCE3" w14:textId="77777777" w:rsidR="00502BB2" w:rsidRDefault="0069123E">
      <w:pPr>
        <w:spacing w:line="276" w:lineRule="auto"/>
        <w:rPr>
          <w:rFonts w:asciiTheme="minorBidi" w:hAnsiTheme="minorBidi"/>
          <w:sz w:val="24"/>
          <w:szCs w:val="24"/>
        </w:rPr>
      </w:pPr>
      <w:r>
        <w:rPr>
          <w:rFonts w:asciiTheme="minorBidi" w:hAnsiTheme="minorBidi"/>
          <w:sz w:val="24"/>
          <w:szCs w:val="24"/>
        </w:rPr>
        <w:t>NADH : Nicotinamide adénine dinucléotide réduit</w:t>
      </w:r>
    </w:p>
    <w:p w14:paraId="4CE8107B" w14:textId="77777777" w:rsidR="00502BB2" w:rsidRDefault="0069123E">
      <w:pPr>
        <w:spacing w:line="276" w:lineRule="auto"/>
        <w:rPr>
          <w:rFonts w:asciiTheme="minorBidi" w:hAnsiTheme="minorBidi"/>
          <w:sz w:val="24"/>
          <w:szCs w:val="24"/>
        </w:rPr>
      </w:pPr>
      <w:r>
        <w:rPr>
          <w:rFonts w:asciiTheme="minorBidi" w:hAnsiTheme="minorBidi"/>
          <w:sz w:val="24"/>
          <w:szCs w:val="24"/>
        </w:rPr>
        <w:t>NAD</w:t>
      </w:r>
      <w:r>
        <w:rPr>
          <w:rFonts w:ascii="Cambria Math" w:hAnsi="Cambria Math" w:cs="Cambria Math"/>
          <w:sz w:val="24"/>
          <w:szCs w:val="24"/>
        </w:rPr>
        <w:t>⁺</w:t>
      </w:r>
      <w:r>
        <w:rPr>
          <w:rFonts w:asciiTheme="minorBidi" w:hAnsiTheme="minorBidi"/>
          <w:sz w:val="24"/>
          <w:szCs w:val="24"/>
        </w:rPr>
        <w:t xml:space="preserve"> : nicotinamide adénine dinucléotide</w:t>
      </w:r>
    </w:p>
    <w:p w14:paraId="7DCD2DCC"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NH4+: Ammonium</w:t>
      </w:r>
    </w:p>
    <w:p w14:paraId="4362F9A0"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NMDA: N-methyl-D-aspartate</w:t>
      </w:r>
    </w:p>
    <w:p w14:paraId="470F352F" w14:textId="77777777" w:rsidR="00502BB2" w:rsidRDefault="0069123E">
      <w:pPr>
        <w:spacing w:line="276" w:lineRule="auto"/>
        <w:rPr>
          <w:rFonts w:asciiTheme="minorBidi" w:hAnsiTheme="minorBidi"/>
          <w:sz w:val="24"/>
          <w:szCs w:val="24"/>
        </w:rPr>
      </w:pPr>
      <w:r>
        <w:rPr>
          <w:rFonts w:asciiTheme="minorBidi" w:hAnsiTheme="minorBidi"/>
          <w:sz w:val="24"/>
          <w:szCs w:val="24"/>
        </w:rPr>
        <w:t>Ns : non significatif</w:t>
      </w:r>
    </w:p>
    <w:p w14:paraId="2D781F8C" w14:textId="77777777" w:rsidR="00502BB2" w:rsidRDefault="0069123E">
      <w:pPr>
        <w:spacing w:line="276" w:lineRule="auto"/>
        <w:rPr>
          <w:rFonts w:asciiTheme="minorBidi" w:hAnsiTheme="minorBidi"/>
          <w:sz w:val="24"/>
          <w:szCs w:val="24"/>
        </w:rPr>
      </w:pPr>
      <w:r>
        <w:rPr>
          <w:rFonts w:asciiTheme="minorBidi" w:hAnsiTheme="minorBidi"/>
          <w:sz w:val="24"/>
          <w:szCs w:val="24"/>
        </w:rPr>
        <w:t>PaCO</w:t>
      </w:r>
      <w:r>
        <w:rPr>
          <w:rFonts w:ascii="Cambria Math" w:hAnsi="Cambria Math" w:cs="Cambria Math"/>
          <w:sz w:val="24"/>
          <w:szCs w:val="24"/>
        </w:rPr>
        <w:t>₂</w:t>
      </w:r>
      <w:r>
        <w:rPr>
          <w:rFonts w:asciiTheme="minorBidi" w:hAnsiTheme="minorBidi"/>
          <w:sz w:val="24"/>
          <w:szCs w:val="24"/>
        </w:rPr>
        <w:t> : pression partielle en dioxyde de carbone</w:t>
      </w:r>
    </w:p>
    <w:p w14:paraId="745EFEAB" w14:textId="77777777" w:rsidR="00502BB2" w:rsidRDefault="0069123E">
      <w:pPr>
        <w:spacing w:line="276" w:lineRule="auto"/>
        <w:rPr>
          <w:rFonts w:asciiTheme="minorBidi" w:hAnsiTheme="minorBidi"/>
          <w:sz w:val="24"/>
          <w:szCs w:val="24"/>
        </w:rPr>
      </w:pPr>
      <w:r>
        <w:rPr>
          <w:rFonts w:asciiTheme="minorBidi" w:hAnsiTheme="minorBidi"/>
          <w:sz w:val="24"/>
          <w:szCs w:val="24"/>
        </w:rPr>
        <w:t>PaO2 : pression partielle en oxygène dans le sang artériel</w:t>
      </w:r>
    </w:p>
    <w:p w14:paraId="7B5CEAE4"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PD-L1:  Programmed Death-Ligand 1</w:t>
      </w:r>
    </w:p>
    <w:p w14:paraId="36AC27F0" w14:textId="77777777" w:rsidR="00502BB2" w:rsidRDefault="0069123E">
      <w:pPr>
        <w:spacing w:line="276" w:lineRule="auto"/>
        <w:rPr>
          <w:rFonts w:asciiTheme="minorBidi" w:hAnsiTheme="minorBidi"/>
          <w:sz w:val="24"/>
          <w:szCs w:val="24"/>
        </w:rPr>
      </w:pPr>
      <w:r>
        <w:rPr>
          <w:rFonts w:asciiTheme="minorBidi" w:hAnsiTheme="minorBidi"/>
          <w:sz w:val="24"/>
          <w:szCs w:val="24"/>
        </w:rPr>
        <w:t>PCC : patient conscient coopérant</w:t>
      </w:r>
    </w:p>
    <w:p w14:paraId="0584E673" w14:textId="77777777" w:rsidR="00502BB2" w:rsidRDefault="0069123E">
      <w:pPr>
        <w:spacing w:line="276" w:lineRule="auto"/>
        <w:rPr>
          <w:rFonts w:asciiTheme="minorBidi" w:hAnsiTheme="minorBidi"/>
          <w:sz w:val="24"/>
          <w:szCs w:val="24"/>
        </w:rPr>
      </w:pPr>
      <w:r>
        <w:rPr>
          <w:rFonts w:asciiTheme="minorBidi" w:hAnsiTheme="minorBidi"/>
          <w:sz w:val="24"/>
          <w:szCs w:val="24"/>
        </w:rPr>
        <w:t>Peu-c-c : peu conscient coopérant</w:t>
      </w:r>
    </w:p>
    <w:p w14:paraId="56898F76" w14:textId="77777777" w:rsidR="00502BB2" w:rsidRDefault="0069123E">
      <w:pPr>
        <w:spacing w:line="276" w:lineRule="auto"/>
        <w:rPr>
          <w:rFonts w:asciiTheme="minorBidi" w:hAnsiTheme="minorBidi"/>
          <w:sz w:val="24"/>
          <w:szCs w:val="24"/>
        </w:rPr>
      </w:pPr>
      <w:r>
        <w:rPr>
          <w:rFonts w:asciiTheme="minorBidi" w:hAnsiTheme="minorBidi"/>
          <w:sz w:val="24"/>
          <w:szCs w:val="24"/>
        </w:rPr>
        <w:t>P-ic-nc : patient inconscient non coopèrent</w:t>
      </w:r>
    </w:p>
    <w:p w14:paraId="765178DB" w14:textId="77777777" w:rsidR="00502BB2" w:rsidRDefault="0069123E">
      <w:pPr>
        <w:spacing w:line="276" w:lineRule="auto"/>
        <w:rPr>
          <w:rFonts w:asciiTheme="minorBidi" w:hAnsiTheme="minorBidi"/>
          <w:sz w:val="24"/>
          <w:szCs w:val="24"/>
        </w:rPr>
      </w:pPr>
      <w:r>
        <w:rPr>
          <w:rFonts w:asciiTheme="minorBidi" w:hAnsiTheme="minorBidi"/>
          <w:sz w:val="24"/>
          <w:szCs w:val="24"/>
        </w:rPr>
        <w:t>PRES : Syndrome d’encéphalopathie postérieure réversible</w:t>
      </w:r>
    </w:p>
    <w:p w14:paraId="2E966557" w14:textId="77777777" w:rsidR="00502BB2" w:rsidRDefault="0069123E">
      <w:pPr>
        <w:spacing w:line="276" w:lineRule="auto"/>
        <w:rPr>
          <w:rFonts w:asciiTheme="minorBidi" w:hAnsiTheme="minorBidi"/>
          <w:sz w:val="24"/>
          <w:szCs w:val="24"/>
        </w:rPr>
      </w:pPr>
      <w:r>
        <w:rPr>
          <w:rFonts w:asciiTheme="minorBidi" w:hAnsiTheme="minorBidi"/>
          <w:sz w:val="24"/>
          <w:szCs w:val="24"/>
        </w:rPr>
        <w:t>PVC : pression veineuse centrale</w:t>
      </w:r>
    </w:p>
    <w:p w14:paraId="5ABA9724" w14:textId="77777777" w:rsidR="00502BB2" w:rsidRDefault="0069123E">
      <w:pPr>
        <w:spacing w:line="276" w:lineRule="auto"/>
        <w:rPr>
          <w:rFonts w:asciiTheme="minorBidi" w:hAnsiTheme="minorBidi"/>
          <w:sz w:val="24"/>
          <w:szCs w:val="24"/>
        </w:rPr>
      </w:pPr>
      <w:r>
        <w:rPr>
          <w:rFonts w:asciiTheme="minorBidi" w:hAnsiTheme="minorBidi"/>
          <w:sz w:val="24"/>
          <w:szCs w:val="24"/>
        </w:rPr>
        <w:t>RCP : récepteurs couplés aux protéines G</w:t>
      </w:r>
    </w:p>
    <w:p w14:paraId="4345266E" w14:textId="77777777" w:rsidR="00502BB2" w:rsidRDefault="0069123E">
      <w:pPr>
        <w:spacing w:line="276" w:lineRule="auto"/>
        <w:rPr>
          <w:rFonts w:asciiTheme="minorBidi" w:hAnsiTheme="minorBidi"/>
          <w:sz w:val="24"/>
          <w:szCs w:val="24"/>
        </w:rPr>
      </w:pPr>
      <w:r>
        <w:rPr>
          <w:rFonts w:asciiTheme="minorBidi" w:hAnsiTheme="minorBidi"/>
          <w:sz w:val="24"/>
          <w:szCs w:val="24"/>
        </w:rPr>
        <w:t>RCPGi : récepteurs couplés aux protéines G inhibiteur</w:t>
      </w:r>
    </w:p>
    <w:p w14:paraId="4EE02872" w14:textId="77777777" w:rsidR="00502BB2" w:rsidRDefault="0069123E">
      <w:pPr>
        <w:spacing w:line="276" w:lineRule="auto"/>
        <w:rPr>
          <w:rFonts w:asciiTheme="minorBidi" w:hAnsiTheme="minorBidi"/>
          <w:sz w:val="24"/>
          <w:szCs w:val="24"/>
        </w:rPr>
      </w:pPr>
      <w:r>
        <w:rPr>
          <w:rFonts w:asciiTheme="minorBidi" w:hAnsiTheme="minorBidi"/>
          <w:sz w:val="24"/>
          <w:szCs w:val="24"/>
        </w:rPr>
        <w:t>RCPGo : récepteurs couplés aux protéines G modulateur</w:t>
      </w:r>
    </w:p>
    <w:p w14:paraId="087C7921" w14:textId="77777777" w:rsidR="00502BB2" w:rsidRDefault="0069123E">
      <w:pPr>
        <w:spacing w:line="276" w:lineRule="auto"/>
        <w:rPr>
          <w:rFonts w:asciiTheme="minorBidi" w:hAnsiTheme="minorBidi"/>
          <w:sz w:val="24"/>
          <w:szCs w:val="24"/>
        </w:rPr>
      </w:pPr>
      <w:r>
        <w:rPr>
          <w:rFonts w:asciiTheme="minorBidi" w:hAnsiTheme="minorBidi"/>
          <w:sz w:val="24"/>
          <w:szCs w:val="24"/>
        </w:rPr>
        <w:t>Rea : réanimation</w:t>
      </w:r>
    </w:p>
    <w:p w14:paraId="2A3FA70E" w14:textId="77777777" w:rsidR="00502BB2" w:rsidRDefault="0069123E">
      <w:pPr>
        <w:spacing w:line="276" w:lineRule="auto"/>
        <w:rPr>
          <w:rFonts w:asciiTheme="minorBidi" w:hAnsiTheme="minorBidi"/>
          <w:sz w:val="24"/>
          <w:szCs w:val="24"/>
        </w:rPr>
      </w:pPr>
      <w:r>
        <w:rPr>
          <w:rFonts w:asciiTheme="minorBidi" w:hAnsiTheme="minorBidi"/>
          <w:sz w:val="24"/>
          <w:szCs w:val="24"/>
        </w:rPr>
        <w:t xml:space="preserve">ROS : </w:t>
      </w:r>
      <w:hyperlink r:id="rId18" w:history="1">
        <w:r w:rsidR="00502BB2">
          <w:rPr>
            <w:rStyle w:val="Hyperlink"/>
            <w:rFonts w:asciiTheme="minorBidi" w:hAnsiTheme="minorBidi"/>
            <w:color w:val="0D0D0D" w:themeColor="text1" w:themeTint="F2"/>
            <w:sz w:val="24"/>
            <w:szCs w:val="24"/>
            <w:u w:val="none"/>
          </w:rPr>
          <w:t>espèces réactives de l'oxygène</w:t>
        </w:r>
      </w:hyperlink>
    </w:p>
    <w:p w14:paraId="66F8832C" w14:textId="77777777" w:rsidR="00502BB2" w:rsidRDefault="0069123E">
      <w:pPr>
        <w:spacing w:line="276" w:lineRule="auto"/>
        <w:rPr>
          <w:rFonts w:asciiTheme="minorBidi" w:hAnsiTheme="minorBidi"/>
          <w:sz w:val="24"/>
          <w:szCs w:val="24"/>
        </w:rPr>
      </w:pPr>
      <w:r>
        <w:rPr>
          <w:rFonts w:asciiTheme="minorBidi" w:hAnsiTheme="minorBidi"/>
          <w:sz w:val="24"/>
          <w:szCs w:val="24"/>
        </w:rPr>
        <w:t>SaO2 : saturation artérielle en oxygène</w:t>
      </w:r>
    </w:p>
    <w:p w14:paraId="66CD2CF0" w14:textId="77777777" w:rsidR="00502BB2" w:rsidRDefault="0069123E">
      <w:pPr>
        <w:spacing w:line="276" w:lineRule="auto"/>
        <w:rPr>
          <w:rFonts w:asciiTheme="minorBidi" w:hAnsiTheme="minorBidi"/>
          <w:sz w:val="24"/>
          <w:szCs w:val="24"/>
        </w:rPr>
      </w:pPr>
      <w:r>
        <w:rPr>
          <w:rFonts w:asciiTheme="minorBidi" w:hAnsiTheme="minorBidi"/>
          <w:sz w:val="24"/>
          <w:szCs w:val="24"/>
        </w:rPr>
        <w:t>SDOH : Déterminants sociaux de santé</w:t>
      </w:r>
    </w:p>
    <w:p w14:paraId="6841D9FD"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 xml:space="preserve">SGLT2: </w:t>
      </w:r>
      <w:proofErr w:type="spellStart"/>
      <w:r>
        <w:rPr>
          <w:rFonts w:asciiTheme="minorBidi" w:hAnsiTheme="minorBidi"/>
          <w:sz w:val="24"/>
          <w:szCs w:val="24"/>
          <w:lang w:val="en-US"/>
        </w:rPr>
        <w:t>cotransporteur</w:t>
      </w:r>
      <w:proofErr w:type="spellEnd"/>
      <w:r>
        <w:rPr>
          <w:rFonts w:asciiTheme="minorBidi" w:hAnsiTheme="minorBidi"/>
          <w:sz w:val="24"/>
          <w:szCs w:val="24"/>
          <w:lang w:val="en-US"/>
        </w:rPr>
        <w:t xml:space="preserve"> sodium/glucose 2</w:t>
      </w:r>
    </w:p>
    <w:p w14:paraId="4154A0D7"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TG: triglyceride</w:t>
      </w:r>
    </w:p>
    <w:p w14:paraId="66AB4174"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lastRenderedPageBreak/>
        <w:t>TGF-</w:t>
      </w:r>
      <w:r>
        <w:rPr>
          <w:rFonts w:asciiTheme="minorBidi" w:hAnsiTheme="minorBidi"/>
          <w:sz w:val="24"/>
          <w:szCs w:val="24"/>
        </w:rPr>
        <w:t>β</w:t>
      </w:r>
      <w:r>
        <w:rPr>
          <w:rFonts w:asciiTheme="minorBidi" w:hAnsiTheme="minorBidi"/>
          <w:sz w:val="24"/>
          <w:szCs w:val="24"/>
          <w:lang w:val="en-US"/>
        </w:rPr>
        <w:t>: Transforming Growth Factor-beta</w:t>
      </w:r>
    </w:p>
    <w:p w14:paraId="52FAE7D1"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TNF: Tumor Necrosis Factor alpha</w:t>
      </w:r>
    </w:p>
    <w:p w14:paraId="7E9C0D3F" w14:textId="77777777" w:rsidR="00502BB2" w:rsidRDefault="0069123E">
      <w:pPr>
        <w:spacing w:line="276" w:lineRule="auto"/>
        <w:rPr>
          <w:rFonts w:asciiTheme="minorBidi" w:hAnsiTheme="minorBidi"/>
          <w:sz w:val="24"/>
          <w:szCs w:val="24"/>
          <w:lang w:val="en-US"/>
        </w:rPr>
      </w:pPr>
      <w:r>
        <w:rPr>
          <w:rFonts w:asciiTheme="minorBidi" w:hAnsiTheme="minorBidi"/>
          <w:sz w:val="24"/>
          <w:szCs w:val="24"/>
          <w:lang w:val="en-US"/>
        </w:rPr>
        <w:t>TP:  tax de prothrombin</w:t>
      </w:r>
    </w:p>
    <w:p w14:paraId="43B51F4D" w14:textId="77777777" w:rsidR="00502BB2" w:rsidRDefault="0069123E">
      <w:pPr>
        <w:spacing w:line="276" w:lineRule="auto"/>
        <w:rPr>
          <w:rFonts w:asciiTheme="minorBidi" w:hAnsiTheme="minorBidi"/>
          <w:sz w:val="24"/>
          <w:szCs w:val="24"/>
        </w:rPr>
      </w:pPr>
      <w:r>
        <w:rPr>
          <w:rFonts w:asciiTheme="minorBidi" w:hAnsiTheme="minorBidi"/>
          <w:sz w:val="24"/>
          <w:szCs w:val="24"/>
        </w:rPr>
        <w:t>V : vasopressine</w:t>
      </w:r>
    </w:p>
    <w:p w14:paraId="167E98BA" w14:textId="77777777" w:rsidR="00502BB2" w:rsidRDefault="0069123E">
      <w:pPr>
        <w:spacing w:line="276" w:lineRule="auto"/>
        <w:rPr>
          <w:rFonts w:asciiTheme="minorBidi" w:hAnsiTheme="minorBidi"/>
          <w:sz w:val="24"/>
          <w:szCs w:val="24"/>
        </w:rPr>
      </w:pPr>
      <w:r>
        <w:rPr>
          <w:rFonts w:asciiTheme="minorBidi" w:hAnsiTheme="minorBidi"/>
          <w:sz w:val="24"/>
          <w:szCs w:val="24"/>
        </w:rPr>
        <w:t>VGM : volume globulaire moyen</w:t>
      </w:r>
    </w:p>
    <w:p w14:paraId="11B5E38D" w14:textId="77777777" w:rsidR="00502BB2" w:rsidRDefault="00502BB2"/>
    <w:p w14:paraId="09E752BF" w14:textId="77777777" w:rsidR="00502BB2" w:rsidRDefault="0069123E">
      <w:pPr>
        <w:bidi/>
        <w:rPr>
          <w:rFonts w:asciiTheme="minorBidi" w:hAnsiTheme="minorBidi"/>
          <w:b/>
          <w:bCs/>
          <w:sz w:val="24"/>
          <w:szCs w:val="24"/>
          <w:rtl/>
        </w:rPr>
      </w:pPr>
      <w:r>
        <w:rPr>
          <w:rFonts w:asciiTheme="minorBidi" w:hAnsiTheme="minorBidi"/>
          <w:b/>
          <w:bCs/>
          <w:sz w:val="24"/>
          <w:szCs w:val="24"/>
          <w:rtl/>
        </w:rPr>
        <w:br w:type="page"/>
      </w:r>
    </w:p>
    <w:p w14:paraId="0A5E178C" w14:textId="77777777" w:rsidR="00502BB2" w:rsidRDefault="0069123E">
      <w:pPr>
        <w:pStyle w:val="Heading2"/>
        <w:spacing w:after="65"/>
        <w:ind w:left="513" w:right="521"/>
        <w:jc w:val="center"/>
        <w:rPr>
          <w:rFonts w:ascii="Arial" w:eastAsia="Arial" w:hAnsi="Arial" w:cs="Arial"/>
          <w:color w:val="000000"/>
          <w:sz w:val="24"/>
        </w:rPr>
      </w:pPr>
      <w:bookmarkStart w:id="6" w:name="_Toc226577314"/>
      <w:r>
        <w:rPr>
          <w:rFonts w:ascii="Tw Cen MT" w:eastAsia="Tw Cen MT" w:hAnsi="Tw Cen MT" w:cs="Tw Cen MT"/>
          <w:i/>
          <w:color w:val="000000"/>
          <w:sz w:val="48"/>
        </w:rPr>
        <w:lastRenderedPageBreak/>
        <w:t>Table de matière</w:t>
      </w:r>
      <w:bookmarkEnd w:id="6"/>
      <w:r>
        <w:rPr>
          <w:rFonts w:ascii="Arial" w:eastAsia="Arial" w:hAnsi="Arial" w:cs="Arial"/>
          <w:color w:val="000000"/>
          <w:sz w:val="24"/>
        </w:rPr>
        <w:t xml:space="preserve"> </w:t>
      </w:r>
    </w:p>
    <w:p w14:paraId="56BA0523" w14:textId="77777777" w:rsidR="00502BB2" w:rsidRDefault="00502BB2"/>
    <w:sdt>
      <w:sdtPr>
        <w:rPr>
          <w:rFonts w:asciiTheme="minorHAnsi" w:eastAsiaTheme="minorHAnsi" w:hAnsiTheme="minorHAnsi" w:cstheme="minorBidi"/>
          <w:b/>
          <w:bCs/>
          <w:color w:val="0D0D0D" w:themeColor="text1" w:themeTint="F2"/>
          <w:kern w:val="2"/>
          <w:sz w:val="22"/>
          <w:szCs w:val="22"/>
          <w:lang w:val="fr-FR"/>
          <w14:ligatures w14:val="standardContextual"/>
        </w:rPr>
        <w:id w:val="-1789966107"/>
        <w:docPartObj>
          <w:docPartGallery w:val="Table of Contents"/>
          <w:docPartUnique/>
        </w:docPartObj>
      </w:sdtPr>
      <w:sdtEndPr/>
      <w:sdtContent>
        <w:p w14:paraId="39640128" w14:textId="77777777" w:rsidR="00502BB2" w:rsidRDefault="00502BB2">
          <w:pPr>
            <w:pStyle w:val="TOCHeading1"/>
            <w:rPr>
              <w:rFonts w:ascii="Segoe Print" w:hAnsi="Segoe Print"/>
              <w:b/>
              <w:bCs/>
              <w:color w:val="0D0D0D" w:themeColor="text1" w:themeTint="F2"/>
            </w:rPr>
          </w:pPr>
        </w:p>
        <w:p w14:paraId="4C8D3585" w14:textId="7AA28D1F" w:rsidR="00502BB2" w:rsidRDefault="0069123E">
          <w:pPr>
            <w:pStyle w:val="TOC1"/>
            <w:tabs>
              <w:tab w:val="right" w:leader="underscore" w:pos="9396"/>
            </w:tabs>
            <w:rPr>
              <w:rFonts w:cstheme="minorBidi"/>
              <w:kern w:val="2"/>
              <w:sz w:val="24"/>
              <w:szCs w:val="24"/>
              <w:lang w:val="fr-FR" w:eastAsia="fr-FR"/>
              <w14:ligatures w14:val="standardContextual"/>
            </w:rPr>
          </w:pPr>
          <w:r>
            <w:rPr>
              <w:b/>
              <w:bCs/>
              <w:color w:val="0D0D0D" w:themeColor="text1" w:themeTint="F2"/>
            </w:rPr>
            <w:fldChar w:fldCharType="begin"/>
          </w:r>
          <w:r>
            <w:rPr>
              <w:b/>
              <w:bCs/>
              <w:color w:val="0D0D0D" w:themeColor="text1" w:themeTint="F2"/>
            </w:rPr>
            <w:instrText xml:space="preserve"> TOC \o "1-3" \h \z \u </w:instrText>
          </w:r>
          <w:r>
            <w:rPr>
              <w:b/>
              <w:bCs/>
              <w:color w:val="0D0D0D" w:themeColor="text1" w:themeTint="F2"/>
            </w:rPr>
            <w:fldChar w:fldCharType="separate"/>
          </w:r>
          <w:hyperlink w:anchor="_Toc226577308" w:history="1">
            <w:r w:rsidR="00502BB2">
              <w:rPr>
                <w:rStyle w:val="Hyperlink"/>
                <w:rFonts w:ascii="Tw Cen MT" w:eastAsia="Tw Cen MT" w:hAnsi="Tw Cen MT" w:cs="Tw Cen MT"/>
                <w:b/>
                <w:bCs/>
                <w:i/>
              </w:rPr>
              <w:t>RESUMÉ</w:t>
            </w:r>
            <w:r w:rsidR="00502BB2">
              <w:tab/>
            </w:r>
            <w:r w:rsidR="00502BB2">
              <w:fldChar w:fldCharType="begin"/>
            </w:r>
            <w:r w:rsidR="00502BB2">
              <w:instrText xml:space="preserve"> PAGEREF _Toc226577308 \h </w:instrText>
            </w:r>
            <w:r w:rsidR="00502BB2">
              <w:fldChar w:fldCharType="separate"/>
            </w:r>
            <w:r w:rsidR="003462B7">
              <w:rPr>
                <w:noProof/>
              </w:rPr>
              <w:t>3</w:t>
            </w:r>
            <w:r w:rsidR="00502BB2">
              <w:fldChar w:fldCharType="end"/>
            </w:r>
          </w:hyperlink>
        </w:p>
        <w:p w14:paraId="604B0EEC" w14:textId="0B274AC8"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09" w:history="1">
            <w:r>
              <w:rPr>
                <w:rStyle w:val="Hyperlink"/>
                <w:rFonts w:ascii="Tw Cen MT" w:hAnsi="Tw Cen MT"/>
                <w:b/>
                <w:bCs/>
              </w:rPr>
              <w:t>Abstract</w:t>
            </w:r>
            <w:r>
              <w:tab/>
            </w:r>
            <w:r>
              <w:fldChar w:fldCharType="begin"/>
            </w:r>
            <w:r>
              <w:instrText xml:space="preserve"> PAGEREF _Toc226577309 \h </w:instrText>
            </w:r>
            <w:r>
              <w:fldChar w:fldCharType="separate"/>
            </w:r>
            <w:r w:rsidR="003462B7">
              <w:rPr>
                <w:noProof/>
              </w:rPr>
              <w:t>4</w:t>
            </w:r>
            <w:r>
              <w:fldChar w:fldCharType="end"/>
            </w:r>
          </w:hyperlink>
        </w:p>
        <w:p w14:paraId="3A886B3F" w14:textId="47732D16"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10" w:history="1">
            <w:r>
              <w:rPr>
                <w:rStyle w:val="Hyperlink"/>
                <w:rFonts w:eastAsia="Arial"/>
                <w:b/>
                <w:bCs/>
                <w:rtl/>
              </w:rPr>
              <w:t>التلخيص</w:t>
            </w:r>
            <w:r>
              <w:tab/>
            </w:r>
            <w:r>
              <w:fldChar w:fldCharType="begin"/>
            </w:r>
            <w:r>
              <w:instrText xml:space="preserve"> PAGEREF _Toc226577310 \h </w:instrText>
            </w:r>
            <w:r>
              <w:fldChar w:fldCharType="separate"/>
            </w:r>
            <w:r w:rsidR="003462B7">
              <w:rPr>
                <w:noProof/>
              </w:rPr>
              <w:t>5</w:t>
            </w:r>
            <w:r>
              <w:fldChar w:fldCharType="end"/>
            </w:r>
          </w:hyperlink>
        </w:p>
        <w:p w14:paraId="1E871EDD" w14:textId="0943CDA9"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11" w:history="1">
            <w:r>
              <w:rPr>
                <w:rStyle w:val="Hyperlink"/>
                <w:rFonts w:ascii="Tw Cen MT" w:eastAsia="Tw Cen MT" w:hAnsi="Tw Cen MT" w:cs="Tw Cen MT"/>
                <w:i/>
              </w:rPr>
              <w:t>Liste de figures</w:t>
            </w:r>
            <w:r>
              <w:tab/>
            </w:r>
            <w:r>
              <w:fldChar w:fldCharType="begin"/>
            </w:r>
            <w:r>
              <w:instrText xml:space="preserve"> PAGEREF _Toc226577311 \h </w:instrText>
            </w:r>
            <w:r>
              <w:fldChar w:fldCharType="separate"/>
            </w:r>
            <w:r w:rsidR="003462B7">
              <w:rPr>
                <w:noProof/>
              </w:rPr>
              <w:t>6</w:t>
            </w:r>
            <w:r>
              <w:fldChar w:fldCharType="end"/>
            </w:r>
          </w:hyperlink>
        </w:p>
        <w:p w14:paraId="40B7C8FF" w14:textId="634C6D22"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12" w:history="1">
            <w:r>
              <w:rPr>
                <w:rStyle w:val="Hyperlink"/>
                <w:rFonts w:ascii="Tw Cen MT" w:eastAsia="Tw Cen MT" w:hAnsi="Tw Cen MT" w:cs="Tw Cen MT"/>
                <w:i/>
              </w:rPr>
              <w:t>Liste de tableaux</w:t>
            </w:r>
            <w:r>
              <w:tab/>
            </w:r>
            <w:r>
              <w:fldChar w:fldCharType="begin"/>
            </w:r>
            <w:r>
              <w:instrText xml:space="preserve"> PAGEREF _Toc226577312 \h </w:instrText>
            </w:r>
            <w:r>
              <w:fldChar w:fldCharType="separate"/>
            </w:r>
            <w:r w:rsidR="003462B7">
              <w:rPr>
                <w:noProof/>
              </w:rPr>
              <w:t>8</w:t>
            </w:r>
            <w:r>
              <w:fldChar w:fldCharType="end"/>
            </w:r>
          </w:hyperlink>
        </w:p>
        <w:p w14:paraId="65A6A7C4" w14:textId="51EB5DDE"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13" w:history="1">
            <w:r>
              <w:rPr>
                <w:rStyle w:val="Hyperlink"/>
                <w:rFonts w:ascii="Tw Cen MT" w:eastAsia="Tw Cen MT" w:hAnsi="Tw Cen MT" w:cs="Tw Cen MT"/>
                <w:i/>
              </w:rPr>
              <w:t>Abbreviations</w:t>
            </w:r>
            <w:r>
              <w:tab/>
            </w:r>
            <w:r>
              <w:fldChar w:fldCharType="begin"/>
            </w:r>
            <w:r>
              <w:instrText xml:space="preserve"> PAGEREF _Toc226577313 \h </w:instrText>
            </w:r>
            <w:r>
              <w:fldChar w:fldCharType="separate"/>
            </w:r>
            <w:r w:rsidR="003462B7">
              <w:rPr>
                <w:noProof/>
              </w:rPr>
              <w:t>9</w:t>
            </w:r>
            <w:r>
              <w:fldChar w:fldCharType="end"/>
            </w:r>
          </w:hyperlink>
        </w:p>
        <w:p w14:paraId="457EEED5" w14:textId="4CD1EC2F"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14" w:history="1">
            <w:r>
              <w:rPr>
                <w:rStyle w:val="Hyperlink"/>
                <w:rFonts w:ascii="Tw Cen MT" w:eastAsia="Tw Cen MT" w:hAnsi="Tw Cen MT" w:cs="Tw Cen MT"/>
                <w:i/>
              </w:rPr>
              <w:t>Table de matière</w:t>
            </w:r>
            <w:r>
              <w:tab/>
            </w:r>
            <w:r>
              <w:fldChar w:fldCharType="begin"/>
            </w:r>
            <w:r>
              <w:instrText xml:space="preserve"> PAGEREF _Toc226577314 \h </w:instrText>
            </w:r>
            <w:r>
              <w:fldChar w:fldCharType="separate"/>
            </w:r>
            <w:r w:rsidR="003462B7">
              <w:rPr>
                <w:noProof/>
              </w:rPr>
              <w:t>13</w:t>
            </w:r>
            <w:r>
              <w:fldChar w:fldCharType="end"/>
            </w:r>
          </w:hyperlink>
        </w:p>
        <w:p w14:paraId="319D390C" w14:textId="45EB3BB2"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15" w:history="1">
            <w:r>
              <w:rPr>
                <w:rStyle w:val="Hyperlink"/>
                <w:rFonts w:ascii="Segoe Print" w:hAnsi="Segoe Print"/>
                <w:b/>
                <w:bCs/>
              </w:rPr>
              <w:t>Introduction</w:t>
            </w:r>
            <w:r>
              <w:tab/>
            </w:r>
            <w:r>
              <w:fldChar w:fldCharType="begin"/>
            </w:r>
            <w:r>
              <w:instrText xml:space="preserve"> PAGEREF _Toc226577315 \h </w:instrText>
            </w:r>
            <w:r>
              <w:fldChar w:fldCharType="separate"/>
            </w:r>
            <w:r w:rsidR="003462B7">
              <w:rPr>
                <w:noProof/>
              </w:rPr>
              <w:t>1</w:t>
            </w:r>
            <w:r>
              <w:fldChar w:fldCharType="end"/>
            </w:r>
          </w:hyperlink>
        </w:p>
        <w:p w14:paraId="77A248C3" w14:textId="6CB41B1E"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16" w:history="1">
            <w:r>
              <w:rPr>
                <w:rStyle w:val="Hyperlink"/>
                <w:rFonts w:ascii="Segoe Print" w:hAnsi="Segoe Print"/>
                <w:b/>
                <w:bCs/>
              </w:rPr>
              <w:t>Bases physiopathologiques</w:t>
            </w:r>
            <w:r>
              <w:tab/>
            </w:r>
            <w:r>
              <w:fldChar w:fldCharType="begin"/>
            </w:r>
            <w:r>
              <w:instrText xml:space="preserve"> PAGEREF _Toc226577316 \h </w:instrText>
            </w:r>
            <w:r>
              <w:fldChar w:fldCharType="separate"/>
            </w:r>
            <w:r w:rsidR="003462B7">
              <w:rPr>
                <w:noProof/>
              </w:rPr>
              <w:t>4</w:t>
            </w:r>
            <w:r>
              <w:fldChar w:fldCharType="end"/>
            </w:r>
          </w:hyperlink>
        </w:p>
        <w:p w14:paraId="27CE6504" w14:textId="7DC6A266"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17" w:history="1">
            <w:r>
              <w:rPr>
                <w:rStyle w:val="Hyperlink"/>
                <w:rFonts w:asciiTheme="minorBidi" w:hAnsiTheme="minorBidi"/>
                <w:b/>
                <w:bCs/>
              </w:rPr>
              <w:t>I.  Physiopathologie du coma diabétique</w:t>
            </w:r>
            <w:r>
              <w:tab/>
            </w:r>
            <w:r>
              <w:fldChar w:fldCharType="begin"/>
            </w:r>
            <w:r>
              <w:instrText xml:space="preserve"> PAGEREF _Toc226577317 \h </w:instrText>
            </w:r>
            <w:r>
              <w:fldChar w:fldCharType="separate"/>
            </w:r>
            <w:r w:rsidR="003462B7">
              <w:rPr>
                <w:noProof/>
              </w:rPr>
              <w:t>4</w:t>
            </w:r>
            <w:r>
              <w:fldChar w:fldCharType="end"/>
            </w:r>
          </w:hyperlink>
        </w:p>
        <w:p w14:paraId="34060DD1" w14:textId="6A891AE4" w:rsidR="00502BB2" w:rsidRDefault="00502BB2">
          <w:pPr>
            <w:pStyle w:val="TOC3"/>
            <w:tabs>
              <w:tab w:val="right" w:leader="underscore" w:pos="9396"/>
            </w:tabs>
            <w:rPr>
              <w:rFonts w:cstheme="minorBidi"/>
              <w:kern w:val="2"/>
              <w:sz w:val="24"/>
              <w:szCs w:val="24"/>
              <w:lang w:val="fr-FR" w:eastAsia="fr-FR"/>
              <w14:ligatures w14:val="standardContextual"/>
            </w:rPr>
          </w:pPr>
          <w:hyperlink w:anchor="_Toc226577318" w:history="1">
            <w:r>
              <w:rPr>
                <w:rStyle w:val="Hyperlink"/>
                <w:rFonts w:asciiTheme="minorBidi" w:hAnsiTheme="minorBidi"/>
                <w:b/>
                <w:bCs/>
              </w:rPr>
              <w:t>1. Système de vigilance :</w:t>
            </w:r>
            <w:r>
              <w:tab/>
            </w:r>
            <w:r>
              <w:fldChar w:fldCharType="begin"/>
            </w:r>
            <w:r>
              <w:instrText xml:space="preserve"> PAGEREF _Toc226577318 \h </w:instrText>
            </w:r>
            <w:r>
              <w:fldChar w:fldCharType="separate"/>
            </w:r>
            <w:r w:rsidR="003462B7">
              <w:rPr>
                <w:noProof/>
              </w:rPr>
              <w:t>4</w:t>
            </w:r>
            <w:r>
              <w:fldChar w:fldCharType="end"/>
            </w:r>
          </w:hyperlink>
        </w:p>
        <w:p w14:paraId="674CC9B7" w14:textId="3FC32992" w:rsidR="00502BB2" w:rsidRDefault="00502BB2">
          <w:pPr>
            <w:pStyle w:val="TOC3"/>
            <w:tabs>
              <w:tab w:val="right" w:leader="underscore" w:pos="9396"/>
            </w:tabs>
            <w:rPr>
              <w:rFonts w:cstheme="minorBidi"/>
              <w:kern w:val="2"/>
              <w:sz w:val="24"/>
              <w:szCs w:val="24"/>
              <w:lang w:val="fr-FR" w:eastAsia="fr-FR"/>
              <w14:ligatures w14:val="standardContextual"/>
            </w:rPr>
          </w:pPr>
          <w:hyperlink w:anchor="_Toc226577319" w:history="1">
            <w:r>
              <w:rPr>
                <w:rStyle w:val="Hyperlink"/>
                <w:rFonts w:asciiTheme="minorBidi" w:hAnsiTheme="minorBidi"/>
                <w:b/>
                <w:bCs/>
              </w:rPr>
              <w:t>2.  Altération de la conscience :</w:t>
            </w:r>
            <w:r>
              <w:tab/>
            </w:r>
            <w:r>
              <w:fldChar w:fldCharType="begin"/>
            </w:r>
            <w:r>
              <w:instrText xml:space="preserve"> PAGEREF _Toc226577319 \h </w:instrText>
            </w:r>
            <w:r>
              <w:fldChar w:fldCharType="separate"/>
            </w:r>
            <w:r w:rsidR="003462B7">
              <w:rPr>
                <w:noProof/>
              </w:rPr>
              <w:t>5</w:t>
            </w:r>
            <w:r>
              <w:fldChar w:fldCharType="end"/>
            </w:r>
          </w:hyperlink>
        </w:p>
        <w:p w14:paraId="07E35391" w14:textId="58F1430A" w:rsidR="00502BB2" w:rsidRDefault="00502BB2">
          <w:pPr>
            <w:pStyle w:val="TOC3"/>
            <w:tabs>
              <w:tab w:val="right" w:leader="underscore" w:pos="9396"/>
            </w:tabs>
            <w:rPr>
              <w:rFonts w:cstheme="minorBidi"/>
              <w:kern w:val="2"/>
              <w:sz w:val="24"/>
              <w:szCs w:val="24"/>
              <w:lang w:val="fr-FR" w:eastAsia="fr-FR"/>
              <w14:ligatures w14:val="standardContextual"/>
            </w:rPr>
          </w:pPr>
          <w:hyperlink w:anchor="_Toc226577320" w:history="1">
            <w:r>
              <w:rPr>
                <w:rStyle w:val="Hyperlink"/>
                <w:rFonts w:asciiTheme="minorBidi" w:hAnsiTheme="minorBidi"/>
                <w:b/>
                <w:bCs/>
              </w:rPr>
              <w:t>3.  Coma :</w:t>
            </w:r>
            <w:r>
              <w:tab/>
            </w:r>
            <w:r>
              <w:fldChar w:fldCharType="begin"/>
            </w:r>
            <w:r>
              <w:instrText xml:space="preserve"> PAGEREF _Toc226577320 \h </w:instrText>
            </w:r>
            <w:r>
              <w:fldChar w:fldCharType="separate"/>
            </w:r>
            <w:r w:rsidR="003462B7">
              <w:rPr>
                <w:noProof/>
              </w:rPr>
              <w:t>6</w:t>
            </w:r>
            <w:r>
              <w:fldChar w:fldCharType="end"/>
            </w:r>
          </w:hyperlink>
        </w:p>
        <w:p w14:paraId="37098C3C" w14:textId="05F64F84" w:rsidR="00502BB2" w:rsidRDefault="00502BB2">
          <w:pPr>
            <w:pStyle w:val="TOC3"/>
            <w:tabs>
              <w:tab w:val="right" w:leader="underscore" w:pos="9396"/>
            </w:tabs>
            <w:rPr>
              <w:rFonts w:cstheme="minorBidi"/>
              <w:kern w:val="2"/>
              <w:sz w:val="24"/>
              <w:szCs w:val="24"/>
              <w:lang w:val="fr-FR" w:eastAsia="fr-FR"/>
              <w14:ligatures w14:val="standardContextual"/>
            </w:rPr>
          </w:pPr>
          <w:hyperlink w:anchor="_Toc226577321" w:history="1">
            <w:r>
              <w:rPr>
                <w:rStyle w:val="Hyperlink"/>
                <w:rFonts w:asciiTheme="minorBidi" w:hAnsiTheme="minorBidi"/>
                <w:b/>
                <w:bCs/>
              </w:rPr>
              <w:t>4.  Facteurs de survenue de coma :</w:t>
            </w:r>
            <w:r>
              <w:tab/>
            </w:r>
            <w:r>
              <w:fldChar w:fldCharType="begin"/>
            </w:r>
            <w:r>
              <w:instrText xml:space="preserve"> PAGEREF _Toc226577321 \h </w:instrText>
            </w:r>
            <w:r>
              <w:fldChar w:fldCharType="separate"/>
            </w:r>
            <w:r w:rsidR="003462B7">
              <w:rPr>
                <w:noProof/>
              </w:rPr>
              <w:t>7</w:t>
            </w:r>
            <w:r>
              <w:fldChar w:fldCharType="end"/>
            </w:r>
          </w:hyperlink>
        </w:p>
        <w:p w14:paraId="0455BA3C" w14:textId="3E2577AE" w:rsidR="00502BB2" w:rsidRDefault="00502BB2">
          <w:pPr>
            <w:pStyle w:val="TOC3"/>
            <w:tabs>
              <w:tab w:val="right" w:leader="underscore" w:pos="9396"/>
            </w:tabs>
            <w:rPr>
              <w:rFonts w:cstheme="minorBidi"/>
              <w:kern w:val="2"/>
              <w:sz w:val="24"/>
              <w:szCs w:val="24"/>
              <w:lang w:val="fr-FR" w:eastAsia="fr-FR"/>
              <w14:ligatures w14:val="standardContextual"/>
            </w:rPr>
          </w:pPr>
          <w:hyperlink w:anchor="_Toc226577322" w:history="1">
            <w:r>
              <w:rPr>
                <w:rStyle w:val="Hyperlink"/>
                <w:rFonts w:asciiTheme="minorBidi" w:hAnsiTheme="minorBidi"/>
                <w:b/>
                <w:bCs/>
              </w:rPr>
              <w:t>5.  Diagnostiques :</w:t>
            </w:r>
            <w:r>
              <w:tab/>
            </w:r>
            <w:r>
              <w:fldChar w:fldCharType="begin"/>
            </w:r>
            <w:r>
              <w:instrText xml:space="preserve"> PAGEREF _Toc226577322 \h </w:instrText>
            </w:r>
            <w:r>
              <w:fldChar w:fldCharType="separate"/>
            </w:r>
            <w:r w:rsidR="003462B7">
              <w:rPr>
                <w:noProof/>
              </w:rPr>
              <w:t>10</w:t>
            </w:r>
            <w:r>
              <w:fldChar w:fldCharType="end"/>
            </w:r>
          </w:hyperlink>
        </w:p>
        <w:p w14:paraId="67D63A81" w14:textId="7A928451"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23" w:history="1">
            <w:r>
              <w:rPr>
                <w:rStyle w:val="Hyperlink"/>
                <w:rFonts w:asciiTheme="minorBidi" w:hAnsiTheme="minorBidi"/>
                <w:b/>
                <w:bCs/>
              </w:rPr>
              <w:t>II. Physiopathologie du DKA :</w:t>
            </w:r>
            <w:r>
              <w:tab/>
            </w:r>
            <w:r>
              <w:fldChar w:fldCharType="begin"/>
            </w:r>
            <w:r>
              <w:instrText xml:space="preserve"> PAGEREF _Toc226577323 \h </w:instrText>
            </w:r>
            <w:r>
              <w:fldChar w:fldCharType="separate"/>
            </w:r>
            <w:r w:rsidR="003462B7">
              <w:rPr>
                <w:noProof/>
              </w:rPr>
              <w:t>14</w:t>
            </w:r>
            <w:r>
              <w:fldChar w:fldCharType="end"/>
            </w:r>
          </w:hyperlink>
        </w:p>
        <w:p w14:paraId="208F553C" w14:textId="122A3658"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24" w:history="1">
            <w:r>
              <w:rPr>
                <w:rStyle w:val="Hyperlink"/>
                <w:rFonts w:asciiTheme="minorBidi" w:hAnsiTheme="minorBidi"/>
                <w:b/>
                <w:bCs/>
              </w:rPr>
              <w:t>1.</w:t>
            </w:r>
            <w:r>
              <w:rPr>
                <w:rFonts w:cstheme="minorBidi"/>
                <w:kern w:val="2"/>
                <w:sz w:val="24"/>
                <w:szCs w:val="24"/>
                <w:lang w:val="fr-FR" w:eastAsia="fr-FR"/>
                <w14:ligatures w14:val="standardContextual"/>
              </w:rPr>
              <w:tab/>
            </w:r>
            <w:r>
              <w:rPr>
                <w:rStyle w:val="Hyperlink"/>
                <w:rFonts w:asciiTheme="minorBidi" w:hAnsiTheme="minorBidi"/>
                <w:b/>
                <w:bCs/>
              </w:rPr>
              <w:t>Acidocétose diabétique DKA :</w:t>
            </w:r>
            <w:r>
              <w:tab/>
            </w:r>
            <w:r>
              <w:fldChar w:fldCharType="begin"/>
            </w:r>
            <w:r>
              <w:instrText xml:space="preserve"> PAGEREF _Toc226577324 \h </w:instrText>
            </w:r>
            <w:r>
              <w:fldChar w:fldCharType="separate"/>
            </w:r>
            <w:r w:rsidR="003462B7">
              <w:rPr>
                <w:noProof/>
              </w:rPr>
              <w:t>14</w:t>
            </w:r>
            <w:r>
              <w:fldChar w:fldCharType="end"/>
            </w:r>
          </w:hyperlink>
        </w:p>
        <w:p w14:paraId="35C5A7A1" w14:textId="05C33B5A"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25" w:history="1">
            <w:r>
              <w:rPr>
                <w:rStyle w:val="Hyperlink"/>
                <w:rFonts w:asciiTheme="minorBidi" w:hAnsiTheme="minorBidi"/>
                <w:b/>
                <w:bCs/>
              </w:rPr>
              <w:t>2.</w:t>
            </w:r>
            <w:r>
              <w:rPr>
                <w:rFonts w:cstheme="minorBidi"/>
                <w:kern w:val="2"/>
                <w:sz w:val="24"/>
                <w:szCs w:val="24"/>
                <w:lang w:val="fr-FR" w:eastAsia="fr-FR"/>
                <w14:ligatures w14:val="standardContextual"/>
              </w:rPr>
              <w:tab/>
            </w:r>
            <w:r>
              <w:rPr>
                <w:rStyle w:val="Hyperlink"/>
                <w:rFonts w:asciiTheme="minorBidi" w:hAnsiTheme="minorBidi"/>
                <w:b/>
                <w:bCs/>
              </w:rPr>
              <w:t>Physiopathologie et épidémiologies :</w:t>
            </w:r>
            <w:r>
              <w:tab/>
            </w:r>
            <w:r>
              <w:fldChar w:fldCharType="begin"/>
            </w:r>
            <w:r>
              <w:instrText xml:space="preserve"> PAGEREF _Toc226577325 \h </w:instrText>
            </w:r>
            <w:r>
              <w:fldChar w:fldCharType="separate"/>
            </w:r>
            <w:r w:rsidR="003462B7">
              <w:rPr>
                <w:noProof/>
              </w:rPr>
              <w:t>15</w:t>
            </w:r>
            <w:r>
              <w:fldChar w:fldCharType="end"/>
            </w:r>
          </w:hyperlink>
        </w:p>
        <w:p w14:paraId="7ABC943E" w14:textId="056F6293"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26" w:history="1">
            <w:r>
              <w:rPr>
                <w:rStyle w:val="Hyperlink"/>
                <w:rFonts w:asciiTheme="minorBidi" w:hAnsiTheme="minorBidi"/>
                <w:b/>
                <w:bCs/>
              </w:rPr>
              <w:t>3.</w:t>
            </w:r>
            <w:r>
              <w:rPr>
                <w:rFonts w:cstheme="minorBidi"/>
                <w:kern w:val="2"/>
                <w:sz w:val="24"/>
                <w:szCs w:val="24"/>
                <w:lang w:val="fr-FR" w:eastAsia="fr-FR"/>
                <w14:ligatures w14:val="standardContextual"/>
              </w:rPr>
              <w:tab/>
            </w:r>
            <w:r>
              <w:rPr>
                <w:rStyle w:val="Hyperlink"/>
                <w:rFonts w:asciiTheme="minorBidi" w:hAnsiTheme="minorBidi"/>
                <w:b/>
                <w:bCs/>
              </w:rPr>
              <w:t>Facteur de risque</w:t>
            </w:r>
            <w:r>
              <w:tab/>
            </w:r>
            <w:r>
              <w:fldChar w:fldCharType="begin"/>
            </w:r>
            <w:r>
              <w:instrText xml:space="preserve"> PAGEREF _Toc226577326 \h </w:instrText>
            </w:r>
            <w:r>
              <w:fldChar w:fldCharType="separate"/>
            </w:r>
            <w:r w:rsidR="003462B7">
              <w:rPr>
                <w:noProof/>
              </w:rPr>
              <w:t>19</w:t>
            </w:r>
            <w:r>
              <w:fldChar w:fldCharType="end"/>
            </w:r>
          </w:hyperlink>
        </w:p>
        <w:p w14:paraId="2F8FF6AD" w14:textId="39F72747"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27" w:history="1">
            <w:r>
              <w:rPr>
                <w:rStyle w:val="Hyperlink"/>
                <w:rFonts w:asciiTheme="minorBidi" w:hAnsiTheme="minorBidi"/>
                <w:b/>
                <w:bCs/>
              </w:rPr>
              <w:t>4.</w:t>
            </w:r>
            <w:r>
              <w:rPr>
                <w:rFonts w:cstheme="minorBidi"/>
                <w:kern w:val="2"/>
                <w:sz w:val="24"/>
                <w:szCs w:val="24"/>
                <w:lang w:val="fr-FR" w:eastAsia="fr-FR"/>
                <w14:ligatures w14:val="standardContextual"/>
              </w:rPr>
              <w:tab/>
            </w:r>
            <w:r>
              <w:rPr>
                <w:rStyle w:val="Hyperlink"/>
                <w:rFonts w:asciiTheme="minorBidi" w:hAnsiTheme="minorBidi"/>
                <w:b/>
                <w:bCs/>
              </w:rPr>
              <w:t>Diagnostique</w:t>
            </w:r>
            <w:r>
              <w:tab/>
            </w:r>
            <w:r>
              <w:fldChar w:fldCharType="begin"/>
            </w:r>
            <w:r>
              <w:instrText xml:space="preserve"> PAGEREF _Toc226577327 \h </w:instrText>
            </w:r>
            <w:r>
              <w:fldChar w:fldCharType="separate"/>
            </w:r>
            <w:r w:rsidR="003462B7">
              <w:rPr>
                <w:noProof/>
              </w:rPr>
              <w:t>20</w:t>
            </w:r>
            <w:r>
              <w:fldChar w:fldCharType="end"/>
            </w:r>
          </w:hyperlink>
        </w:p>
        <w:p w14:paraId="40F710E8" w14:textId="000C0372"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28" w:history="1">
            <w:r>
              <w:rPr>
                <w:rStyle w:val="Hyperlink"/>
                <w:rFonts w:asciiTheme="minorBidi" w:hAnsiTheme="minorBidi"/>
                <w:b/>
                <w:bCs/>
              </w:rPr>
              <w:t>5.</w:t>
            </w:r>
            <w:r>
              <w:rPr>
                <w:rFonts w:cstheme="minorBidi"/>
                <w:kern w:val="2"/>
                <w:sz w:val="24"/>
                <w:szCs w:val="24"/>
                <w:lang w:val="fr-FR" w:eastAsia="fr-FR"/>
                <w14:ligatures w14:val="standardContextual"/>
              </w:rPr>
              <w:tab/>
            </w:r>
            <w:r>
              <w:rPr>
                <w:rStyle w:val="Hyperlink"/>
                <w:rFonts w:asciiTheme="minorBidi" w:hAnsiTheme="minorBidi"/>
                <w:b/>
                <w:bCs/>
              </w:rPr>
              <w:t>Traitements</w:t>
            </w:r>
            <w:r>
              <w:tab/>
            </w:r>
            <w:r>
              <w:fldChar w:fldCharType="begin"/>
            </w:r>
            <w:r>
              <w:instrText xml:space="preserve"> PAGEREF _Toc226577328 \h </w:instrText>
            </w:r>
            <w:r>
              <w:fldChar w:fldCharType="separate"/>
            </w:r>
            <w:r w:rsidR="003462B7">
              <w:rPr>
                <w:noProof/>
              </w:rPr>
              <w:t>22</w:t>
            </w:r>
            <w:r>
              <w:fldChar w:fldCharType="end"/>
            </w:r>
          </w:hyperlink>
        </w:p>
        <w:p w14:paraId="615067C0" w14:textId="054A8006"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29" w:history="1">
            <w:r>
              <w:rPr>
                <w:rStyle w:val="Hyperlink"/>
                <w:rFonts w:asciiTheme="minorBidi" w:hAnsiTheme="minorBidi"/>
                <w:b/>
                <w:bCs/>
              </w:rPr>
              <w:t>6.</w:t>
            </w:r>
            <w:r>
              <w:rPr>
                <w:rFonts w:cstheme="minorBidi"/>
                <w:kern w:val="2"/>
                <w:sz w:val="24"/>
                <w:szCs w:val="24"/>
                <w:lang w:val="fr-FR" w:eastAsia="fr-FR"/>
                <w14:ligatures w14:val="standardContextual"/>
              </w:rPr>
              <w:tab/>
            </w:r>
            <w:r>
              <w:rPr>
                <w:rStyle w:val="Hyperlink"/>
                <w:rFonts w:asciiTheme="minorBidi" w:hAnsiTheme="minorBidi"/>
                <w:b/>
                <w:bCs/>
              </w:rPr>
              <w:t>DKA et atteinte du cerveau :</w:t>
            </w:r>
            <w:r>
              <w:tab/>
            </w:r>
            <w:r>
              <w:fldChar w:fldCharType="begin"/>
            </w:r>
            <w:r>
              <w:instrText xml:space="preserve"> PAGEREF _Toc226577329 \h </w:instrText>
            </w:r>
            <w:r>
              <w:fldChar w:fldCharType="separate"/>
            </w:r>
            <w:r w:rsidR="003462B7">
              <w:rPr>
                <w:noProof/>
              </w:rPr>
              <w:t>23</w:t>
            </w:r>
            <w:r>
              <w:fldChar w:fldCharType="end"/>
            </w:r>
          </w:hyperlink>
        </w:p>
        <w:p w14:paraId="64A917ED" w14:textId="1A7DA2B5"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30" w:history="1">
            <w:r>
              <w:rPr>
                <w:rStyle w:val="Hyperlink"/>
                <w:rFonts w:asciiTheme="minorBidi" w:hAnsiTheme="minorBidi"/>
                <w:b/>
                <w:bCs/>
              </w:rPr>
              <w:t>III. Le lactate :</w:t>
            </w:r>
            <w:r>
              <w:tab/>
            </w:r>
            <w:r>
              <w:fldChar w:fldCharType="begin"/>
            </w:r>
            <w:r>
              <w:instrText xml:space="preserve"> PAGEREF _Toc226577330 \h </w:instrText>
            </w:r>
            <w:r>
              <w:fldChar w:fldCharType="separate"/>
            </w:r>
            <w:r w:rsidR="003462B7">
              <w:rPr>
                <w:noProof/>
              </w:rPr>
              <w:t>28</w:t>
            </w:r>
            <w:r>
              <w:fldChar w:fldCharType="end"/>
            </w:r>
          </w:hyperlink>
        </w:p>
        <w:p w14:paraId="4607BD82" w14:textId="4FB2A45C"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31" w:history="1">
            <w:r>
              <w:rPr>
                <w:rStyle w:val="Hyperlink"/>
                <w:rFonts w:asciiTheme="minorBidi" w:eastAsiaTheme="minorHAnsi" w:hAnsiTheme="minorBidi"/>
                <w:b/>
                <w:bCs/>
              </w:rPr>
              <w:t>1.</w:t>
            </w:r>
            <w:r>
              <w:rPr>
                <w:rFonts w:cstheme="minorBidi"/>
                <w:kern w:val="2"/>
                <w:sz w:val="24"/>
                <w:szCs w:val="24"/>
                <w:lang w:val="fr-FR" w:eastAsia="fr-FR"/>
                <w14:ligatures w14:val="standardContextual"/>
              </w:rPr>
              <w:tab/>
            </w:r>
            <w:r>
              <w:rPr>
                <w:rStyle w:val="Hyperlink"/>
                <w:rFonts w:asciiTheme="minorBidi" w:hAnsiTheme="minorBidi"/>
                <w:b/>
                <w:bCs/>
              </w:rPr>
              <w:t>L’état physiologique :</w:t>
            </w:r>
            <w:r>
              <w:tab/>
            </w:r>
            <w:r>
              <w:fldChar w:fldCharType="begin"/>
            </w:r>
            <w:r>
              <w:instrText xml:space="preserve"> PAGEREF _Toc226577331 \h </w:instrText>
            </w:r>
            <w:r>
              <w:fldChar w:fldCharType="separate"/>
            </w:r>
            <w:r w:rsidR="003462B7">
              <w:rPr>
                <w:noProof/>
              </w:rPr>
              <w:t>28</w:t>
            </w:r>
            <w:r>
              <w:fldChar w:fldCharType="end"/>
            </w:r>
          </w:hyperlink>
        </w:p>
        <w:p w14:paraId="31FDF8F9" w14:textId="3BEAC464" w:rsidR="00502BB2" w:rsidRDefault="00502BB2">
          <w:pPr>
            <w:pStyle w:val="TOC3"/>
            <w:tabs>
              <w:tab w:val="right" w:leader="underscore" w:pos="9396"/>
            </w:tabs>
            <w:rPr>
              <w:rFonts w:cstheme="minorBidi"/>
              <w:kern w:val="2"/>
              <w:sz w:val="24"/>
              <w:szCs w:val="24"/>
              <w:lang w:val="fr-FR" w:eastAsia="fr-FR"/>
              <w14:ligatures w14:val="standardContextual"/>
            </w:rPr>
          </w:pPr>
          <w:hyperlink w:anchor="_Toc226577332" w:history="1">
            <w:r>
              <w:rPr>
                <w:rStyle w:val="Hyperlink"/>
                <w:rFonts w:asciiTheme="minorBidi" w:hAnsiTheme="minorBidi"/>
                <w:b/>
                <w:bCs/>
              </w:rPr>
              <w:t>2. L’état physiopathologique :</w:t>
            </w:r>
            <w:r>
              <w:tab/>
            </w:r>
            <w:r>
              <w:fldChar w:fldCharType="begin"/>
            </w:r>
            <w:r>
              <w:instrText xml:space="preserve"> PAGEREF _Toc226577332 \h </w:instrText>
            </w:r>
            <w:r>
              <w:fldChar w:fldCharType="separate"/>
            </w:r>
            <w:r w:rsidR="003462B7">
              <w:rPr>
                <w:noProof/>
              </w:rPr>
              <w:t>31</w:t>
            </w:r>
            <w:r>
              <w:fldChar w:fldCharType="end"/>
            </w:r>
          </w:hyperlink>
        </w:p>
        <w:p w14:paraId="77452CA4" w14:textId="2D38C51C" w:rsidR="00502BB2" w:rsidRDefault="00502BB2">
          <w:pPr>
            <w:pStyle w:val="TOC3"/>
            <w:tabs>
              <w:tab w:val="right" w:leader="underscore" w:pos="9396"/>
            </w:tabs>
            <w:rPr>
              <w:rFonts w:cstheme="minorBidi"/>
              <w:kern w:val="2"/>
              <w:sz w:val="24"/>
              <w:szCs w:val="24"/>
              <w:lang w:val="fr-FR" w:eastAsia="fr-FR"/>
              <w14:ligatures w14:val="standardContextual"/>
            </w:rPr>
          </w:pPr>
          <w:hyperlink w:anchor="_Toc226577333" w:history="1">
            <w:r>
              <w:rPr>
                <w:rStyle w:val="Hyperlink"/>
                <w:rFonts w:asciiTheme="minorBidi" w:hAnsiTheme="minorBidi"/>
                <w:b/>
                <w:bCs/>
              </w:rPr>
              <w:t>3.  Lactate et diabète :</w:t>
            </w:r>
            <w:r>
              <w:tab/>
            </w:r>
            <w:r>
              <w:fldChar w:fldCharType="begin"/>
            </w:r>
            <w:r>
              <w:instrText xml:space="preserve"> PAGEREF _Toc226577333 \h </w:instrText>
            </w:r>
            <w:r>
              <w:fldChar w:fldCharType="separate"/>
            </w:r>
            <w:r w:rsidR="003462B7">
              <w:rPr>
                <w:noProof/>
              </w:rPr>
              <w:t>33</w:t>
            </w:r>
            <w:r>
              <w:fldChar w:fldCharType="end"/>
            </w:r>
          </w:hyperlink>
        </w:p>
        <w:p w14:paraId="33CE74A8" w14:textId="5AABF48F"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34" w:history="1">
            <w:r>
              <w:rPr>
                <w:rStyle w:val="Hyperlink"/>
                <w:rFonts w:asciiTheme="minorBidi" w:hAnsiTheme="minorBidi"/>
                <w:b/>
                <w:bCs/>
              </w:rPr>
              <w:t>IV.  Les corps cétoniques</w:t>
            </w:r>
            <w:r>
              <w:tab/>
            </w:r>
            <w:r>
              <w:fldChar w:fldCharType="begin"/>
            </w:r>
            <w:r>
              <w:instrText xml:space="preserve"> PAGEREF _Toc226577334 \h </w:instrText>
            </w:r>
            <w:r>
              <w:fldChar w:fldCharType="separate"/>
            </w:r>
            <w:r w:rsidR="003462B7">
              <w:rPr>
                <w:noProof/>
              </w:rPr>
              <w:t>38</w:t>
            </w:r>
            <w:r>
              <w:fldChar w:fldCharType="end"/>
            </w:r>
          </w:hyperlink>
        </w:p>
        <w:p w14:paraId="125E2C39" w14:textId="3E916792"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35" w:history="1">
            <w:r>
              <w:rPr>
                <w:rStyle w:val="Hyperlink"/>
                <w:rFonts w:asciiTheme="minorBidi" w:hAnsiTheme="minorBidi"/>
                <w:b/>
                <w:bCs/>
              </w:rPr>
              <w:t>1.</w:t>
            </w:r>
            <w:r>
              <w:rPr>
                <w:rFonts w:cstheme="minorBidi"/>
                <w:kern w:val="2"/>
                <w:sz w:val="24"/>
                <w:szCs w:val="24"/>
                <w:lang w:val="fr-FR" w:eastAsia="fr-FR"/>
                <w14:ligatures w14:val="standardContextual"/>
              </w:rPr>
              <w:tab/>
            </w:r>
            <w:r>
              <w:rPr>
                <w:rStyle w:val="Hyperlink"/>
                <w:rFonts w:asciiTheme="minorBidi" w:hAnsiTheme="minorBidi"/>
                <w:b/>
                <w:bCs/>
              </w:rPr>
              <w:t>La biosynthèse</w:t>
            </w:r>
            <w:r>
              <w:tab/>
            </w:r>
            <w:r>
              <w:fldChar w:fldCharType="begin"/>
            </w:r>
            <w:r>
              <w:instrText xml:space="preserve"> PAGEREF _Toc226577335 \h </w:instrText>
            </w:r>
            <w:r>
              <w:fldChar w:fldCharType="separate"/>
            </w:r>
            <w:r w:rsidR="003462B7">
              <w:rPr>
                <w:noProof/>
              </w:rPr>
              <w:t>38</w:t>
            </w:r>
            <w:r>
              <w:fldChar w:fldCharType="end"/>
            </w:r>
          </w:hyperlink>
        </w:p>
        <w:p w14:paraId="41D33C5B" w14:textId="705DBD41"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36" w:history="1">
            <w:r>
              <w:rPr>
                <w:rStyle w:val="Hyperlink"/>
                <w:rFonts w:asciiTheme="minorBidi" w:hAnsiTheme="minorBidi"/>
                <w:b/>
                <w:bCs/>
              </w:rPr>
              <w:t>2.</w:t>
            </w:r>
            <w:r>
              <w:rPr>
                <w:rFonts w:cstheme="minorBidi"/>
                <w:kern w:val="2"/>
                <w:sz w:val="24"/>
                <w:szCs w:val="24"/>
                <w:lang w:val="fr-FR" w:eastAsia="fr-FR"/>
                <w14:ligatures w14:val="standardContextual"/>
              </w:rPr>
              <w:tab/>
            </w:r>
            <w:r>
              <w:rPr>
                <w:rStyle w:val="Hyperlink"/>
                <w:rFonts w:asciiTheme="minorBidi" w:hAnsiTheme="minorBidi"/>
                <w:b/>
                <w:bCs/>
              </w:rPr>
              <w:t>Etat physiologique</w:t>
            </w:r>
            <w:r>
              <w:tab/>
            </w:r>
            <w:r>
              <w:fldChar w:fldCharType="begin"/>
            </w:r>
            <w:r>
              <w:instrText xml:space="preserve"> PAGEREF _Toc226577336 \h </w:instrText>
            </w:r>
            <w:r>
              <w:fldChar w:fldCharType="separate"/>
            </w:r>
            <w:r w:rsidR="003462B7">
              <w:rPr>
                <w:noProof/>
              </w:rPr>
              <w:t>39</w:t>
            </w:r>
            <w:r>
              <w:fldChar w:fldCharType="end"/>
            </w:r>
          </w:hyperlink>
        </w:p>
        <w:p w14:paraId="5FBF4AFE" w14:textId="3FE4DC9C"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37" w:history="1">
            <w:r>
              <w:rPr>
                <w:rStyle w:val="Hyperlink"/>
                <w:rFonts w:asciiTheme="minorBidi" w:hAnsiTheme="minorBidi"/>
                <w:b/>
                <w:bCs/>
              </w:rPr>
              <w:t>3.</w:t>
            </w:r>
            <w:r>
              <w:rPr>
                <w:rFonts w:cstheme="minorBidi"/>
                <w:kern w:val="2"/>
                <w:sz w:val="24"/>
                <w:szCs w:val="24"/>
                <w:lang w:val="fr-FR" w:eastAsia="fr-FR"/>
                <w14:ligatures w14:val="standardContextual"/>
              </w:rPr>
              <w:tab/>
            </w:r>
            <w:r>
              <w:rPr>
                <w:rStyle w:val="Hyperlink"/>
                <w:rFonts w:asciiTheme="minorBidi" w:hAnsiTheme="minorBidi"/>
                <w:b/>
                <w:bCs/>
              </w:rPr>
              <w:t>Etat pathologique</w:t>
            </w:r>
            <w:r>
              <w:tab/>
            </w:r>
            <w:r>
              <w:fldChar w:fldCharType="begin"/>
            </w:r>
            <w:r>
              <w:instrText xml:space="preserve"> PAGEREF _Toc226577337 \h </w:instrText>
            </w:r>
            <w:r>
              <w:fldChar w:fldCharType="separate"/>
            </w:r>
            <w:r w:rsidR="003462B7">
              <w:rPr>
                <w:noProof/>
              </w:rPr>
              <w:t>41</w:t>
            </w:r>
            <w:r>
              <w:fldChar w:fldCharType="end"/>
            </w:r>
          </w:hyperlink>
        </w:p>
        <w:p w14:paraId="48ACED9B" w14:textId="1C0DEC42"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38" w:history="1">
            <w:r>
              <w:rPr>
                <w:rStyle w:val="Hyperlink"/>
                <w:rFonts w:ascii="Segoe Print" w:hAnsi="Segoe Print"/>
                <w:b/>
                <w:bCs/>
              </w:rPr>
              <w:t>Cadre pratique de l’étude</w:t>
            </w:r>
            <w:r>
              <w:tab/>
            </w:r>
            <w:r>
              <w:fldChar w:fldCharType="begin"/>
            </w:r>
            <w:r>
              <w:instrText xml:space="preserve"> PAGEREF _Toc226577338 \h </w:instrText>
            </w:r>
            <w:r>
              <w:fldChar w:fldCharType="separate"/>
            </w:r>
            <w:r w:rsidR="003462B7">
              <w:rPr>
                <w:noProof/>
              </w:rPr>
              <w:t>44</w:t>
            </w:r>
            <w:r>
              <w:fldChar w:fldCharType="end"/>
            </w:r>
          </w:hyperlink>
        </w:p>
        <w:p w14:paraId="2D242C66" w14:textId="2F96B2ED" w:rsidR="00502BB2" w:rsidRDefault="00502BB2">
          <w:pPr>
            <w:pStyle w:val="TOC2"/>
            <w:tabs>
              <w:tab w:val="left" w:pos="720"/>
              <w:tab w:val="right" w:leader="underscore" w:pos="9396"/>
            </w:tabs>
            <w:rPr>
              <w:rFonts w:cstheme="minorBidi"/>
              <w:kern w:val="2"/>
              <w:sz w:val="24"/>
              <w:szCs w:val="24"/>
              <w:lang w:val="fr-FR" w:eastAsia="fr-FR"/>
              <w14:ligatures w14:val="standardContextual"/>
            </w:rPr>
          </w:pPr>
          <w:hyperlink w:anchor="_Toc226577339" w:history="1">
            <w:r>
              <w:rPr>
                <w:rStyle w:val="Hyperlink"/>
                <w:rFonts w:asciiTheme="minorBidi" w:hAnsiTheme="minorBidi"/>
                <w:b/>
                <w:bCs/>
              </w:rPr>
              <w:t>I.</w:t>
            </w:r>
            <w:r>
              <w:rPr>
                <w:rFonts w:cstheme="minorBidi"/>
                <w:kern w:val="2"/>
                <w:sz w:val="24"/>
                <w:szCs w:val="24"/>
                <w:lang w:val="fr-FR" w:eastAsia="fr-FR"/>
                <w14:ligatures w14:val="standardContextual"/>
              </w:rPr>
              <w:tab/>
            </w:r>
            <w:r>
              <w:rPr>
                <w:rStyle w:val="Hyperlink"/>
                <w:rFonts w:asciiTheme="minorBidi" w:hAnsiTheme="minorBidi"/>
                <w:b/>
                <w:bCs/>
              </w:rPr>
              <w:t>Objectif de l’étude :</w:t>
            </w:r>
            <w:r>
              <w:tab/>
            </w:r>
            <w:r>
              <w:fldChar w:fldCharType="begin"/>
            </w:r>
            <w:r>
              <w:instrText xml:space="preserve"> PAGEREF _Toc226577339 \h </w:instrText>
            </w:r>
            <w:r>
              <w:fldChar w:fldCharType="separate"/>
            </w:r>
            <w:r w:rsidR="003462B7">
              <w:rPr>
                <w:noProof/>
              </w:rPr>
              <w:t>44</w:t>
            </w:r>
            <w:r>
              <w:fldChar w:fldCharType="end"/>
            </w:r>
          </w:hyperlink>
        </w:p>
        <w:p w14:paraId="5FC81DC5" w14:textId="130D993D" w:rsidR="00502BB2" w:rsidRDefault="00502BB2">
          <w:pPr>
            <w:pStyle w:val="TOC2"/>
            <w:tabs>
              <w:tab w:val="left" w:pos="720"/>
              <w:tab w:val="right" w:leader="underscore" w:pos="9396"/>
            </w:tabs>
            <w:rPr>
              <w:rFonts w:cstheme="minorBidi"/>
              <w:kern w:val="2"/>
              <w:sz w:val="24"/>
              <w:szCs w:val="24"/>
              <w:lang w:val="fr-FR" w:eastAsia="fr-FR"/>
              <w14:ligatures w14:val="standardContextual"/>
            </w:rPr>
          </w:pPr>
          <w:hyperlink w:anchor="_Toc226577340" w:history="1">
            <w:r>
              <w:rPr>
                <w:rStyle w:val="Hyperlink"/>
                <w:rFonts w:asciiTheme="minorBidi" w:hAnsiTheme="minorBidi"/>
                <w:b/>
                <w:bCs/>
              </w:rPr>
              <w:t>II.</w:t>
            </w:r>
            <w:r>
              <w:rPr>
                <w:rFonts w:cstheme="minorBidi"/>
                <w:kern w:val="2"/>
                <w:sz w:val="24"/>
                <w:szCs w:val="24"/>
                <w:lang w:val="fr-FR" w:eastAsia="fr-FR"/>
                <w14:ligatures w14:val="standardContextual"/>
              </w:rPr>
              <w:tab/>
            </w:r>
            <w:r>
              <w:rPr>
                <w:rStyle w:val="Hyperlink"/>
                <w:rFonts w:asciiTheme="minorBidi" w:hAnsiTheme="minorBidi"/>
                <w:b/>
                <w:bCs/>
              </w:rPr>
              <w:t>Plan d’étude :</w:t>
            </w:r>
            <w:r>
              <w:tab/>
            </w:r>
            <w:r>
              <w:fldChar w:fldCharType="begin"/>
            </w:r>
            <w:r>
              <w:instrText xml:space="preserve"> PAGEREF _Toc226577340 \h </w:instrText>
            </w:r>
            <w:r>
              <w:fldChar w:fldCharType="separate"/>
            </w:r>
            <w:r w:rsidR="003462B7">
              <w:rPr>
                <w:noProof/>
              </w:rPr>
              <w:t>44</w:t>
            </w:r>
            <w:r>
              <w:fldChar w:fldCharType="end"/>
            </w:r>
          </w:hyperlink>
        </w:p>
        <w:p w14:paraId="1B2AEACE" w14:textId="56D158B0"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41" w:history="1">
            <w:r>
              <w:rPr>
                <w:rStyle w:val="Hyperlink"/>
                <w:rFonts w:asciiTheme="minorBidi" w:hAnsiTheme="minorBidi"/>
                <w:b/>
                <w:bCs/>
              </w:rPr>
              <w:t>2.</w:t>
            </w:r>
            <w:r>
              <w:rPr>
                <w:rFonts w:cstheme="minorBidi"/>
                <w:kern w:val="2"/>
                <w:sz w:val="24"/>
                <w:szCs w:val="24"/>
                <w:lang w:val="fr-FR" w:eastAsia="fr-FR"/>
                <w14:ligatures w14:val="standardContextual"/>
              </w:rPr>
              <w:tab/>
            </w:r>
            <w:r>
              <w:rPr>
                <w:rStyle w:val="Hyperlink"/>
                <w:rFonts w:asciiTheme="minorBidi" w:hAnsiTheme="minorBidi"/>
                <w:b/>
                <w:bCs/>
              </w:rPr>
              <w:t>Population cible et critères d’inclusion et d’exclusion</w:t>
            </w:r>
            <w:r>
              <w:tab/>
            </w:r>
            <w:r>
              <w:fldChar w:fldCharType="begin"/>
            </w:r>
            <w:r>
              <w:instrText xml:space="preserve"> PAGEREF _Toc226577341 \h </w:instrText>
            </w:r>
            <w:r>
              <w:fldChar w:fldCharType="separate"/>
            </w:r>
            <w:r w:rsidR="003462B7">
              <w:rPr>
                <w:noProof/>
              </w:rPr>
              <w:t>45</w:t>
            </w:r>
            <w:r>
              <w:fldChar w:fldCharType="end"/>
            </w:r>
          </w:hyperlink>
        </w:p>
        <w:p w14:paraId="587EAB50" w14:textId="2C25063B"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42" w:history="1">
            <w:r>
              <w:rPr>
                <w:rStyle w:val="Hyperlink"/>
                <w:rFonts w:asciiTheme="minorBidi" w:hAnsiTheme="minorBidi"/>
                <w:b/>
                <w:bCs/>
              </w:rPr>
              <w:t>3.</w:t>
            </w:r>
            <w:r>
              <w:rPr>
                <w:rFonts w:cstheme="minorBidi"/>
                <w:kern w:val="2"/>
                <w:sz w:val="24"/>
                <w:szCs w:val="24"/>
                <w:lang w:val="fr-FR" w:eastAsia="fr-FR"/>
                <w14:ligatures w14:val="standardContextual"/>
              </w:rPr>
              <w:tab/>
            </w:r>
            <w:r>
              <w:rPr>
                <w:rStyle w:val="Hyperlink"/>
                <w:rFonts w:asciiTheme="minorBidi" w:hAnsiTheme="minorBidi"/>
                <w:b/>
                <w:bCs/>
              </w:rPr>
              <w:t>Enquête par questionnaire :</w:t>
            </w:r>
            <w:r>
              <w:tab/>
            </w:r>
            <w:r>
              <w:fldChar w:fldCharType="begin"/>
            </w:r>
            <w:r>
              <w:instrText xml:space="preserve"> PAGEREF _Toc226577342 \h </w:instrText>
            </w:r>
            <w:r>
              <w:fldChar w:fldCharType="separate"/>
            </w:r>
            <w:r w:rsidR="003462B7">
              <w:rPr>
                <w:noProof/>
              </w:rPr>
              <w:t>45</w:t>
            </w:r>
            <w:r>
              <w:fldChar w:fldCharType="end"/>
            </w:r>
          </w:hyperlink>
        </w:p>
        <w:p w14:paraId="0E7F0B09" w14:textId="2328AD52"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43" w:history="1">
            <w:r>
              <w:rPr>
                <w:rStyle w:val="Hyperlink"/>
                <w:rFonts w:asciiTheme="minorBidi" w:hAnsiTheme="minorBidi"/>
                <w:b/>
                <w:bCs/>
              </w:rPr>
              <w:t>4.</w:t>
            </w:r>
            <w:r>
              <w:rPr>
                <w:rFonts w:cstheme="minorBidi"/>
                <w:kern w:val="2"/>
                <w:sz w:val="24"/>
                <w:szCs w:val="24"/>
                <w:lang w:val="fr-FR" w:eastAsia="fr-FR"/>
                <w14:ligatures w14:val="standardContextual"/>
              </w:rPr>
              <w:tab/>
            </w:r>
            <w:r>
              <w:rPr>
                <w:rStyle w:val="Hyperlink"/>
                <w:rFonts w:asciiTheme="minorBidi" w:hAnsiTheme="minorBidi"/>
                <w:b/>
                <w:bCs/>
              </w:rPr>
              <w:t>Variables étudiées :</w:t>
            </w:r>
            <w:r>
              <w:tab/>
            </w:r>
            <w:r>
              <w:fldChar w:fldCharType="begin"/>
            </w:r>
            <w:r>
              <w:instrText xml:space="preserve"> PAGEREF _Toc226577343 \h </w:instrText>
            </w:r>
            <w:r>
              <w:fldChar w:fldCharType="separate"/>
            </w:r>
            <w:r w:rsidR="003462B7">
              <w:rPr>
                <w:noProof/>
              </w:rPr>
              <w:t>46</w:t>
            </w:r>
            <w:r>
              <w:fldChar w:fldCharType="end"/>
            </w:r>
          </w:hyperlink>
        </w:p>
        <w:p w14:paraId="3AD70C1F" w14:textId="5E75DF78"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44" w:history="1">
            <w:r>
              <w:rPr>
                <w:rStyle w:val="Hyperlink"/>
                <w:rFonts w:asciiTheme="minorBidi" w:hAnsiTheme="minorBidi"/>
                <w:b/>
                <w:bCs/>
              </w:rPr>
              <w:t>5.</w:t>
            </w:r>
            <w:r>
              <w:rPr>
                <w:rFonts w:cstheme="minorBidi"/>
                <w:kern w:val="2"/>
                <w:sz w:val="24"/>
                <w:szCs w:val="24"/>
                <w:lang w:val="fr-FR" w:eastAsia="fr-FR"/>
                <w14:ligatures w14:val="standardContextual"/>
              </w:rPr>
              <w:tab/>
            </w:r>
            <w:r>
              <w:rPr>
                <w:rStyle w:val="Hyperlink"/>
                <w:rFonts w:asciiTheme="minorBidi" w:hAnsiTheme="minorBidi"/>
                <w:b/>
                <w:bCs/>
              </w:rPr>
              <w:t>Paramètres calculés :</w:t>
            </w:r>
            <w:r>
              <w:tab/>
            </w:r>
            <w:r>
              <w:fldChar w:fldCharType="begin"/>
            </w:r>
            <w:r>
              <w:instrText xml:space="preserve"> PAGEREF _Toc226577344 \h </w:instrText>
            </w:r>
            <w:r>
              <w:fldChar w:fldCharType="separate"/>
            </w:r>
            <w:r w:rsidR="003462B7">
              <w:rPr>
                <w:noProof/>
              </w:rPr>
              <w:t>46</w:t>
            </w:r>
            <w:r>
              <w:fldChar w:fldCharType="end"/>
            </w:r>
          </w:hyperlink>
        </w:p>
        <w:p w14:paraId="66F8CF69" w14:textId="1B79BC5A"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45" w:history="1">
            <w:r>
              <w:rPr>
                <w:rStyle w:val="Hyperlink"/>
                <w:rFonts w:asciiTheme="minorBidi" w:hAnsiTheme="minorBidi"/>
                <w:b/>
                <w:bCs/>
              </w:rPr>
              <w:t>6.</w:t>
            </w:r>
            <w:r>
              <w:rPr>
                <w:rFonts w:cstheme="minorBidi"/>
                <w:kern w:val="2"/>
                <w:sz w:val="24"/>
                <w:szCs w:val="24"/>
                <w:lang w:val="fr-FR" w:eastAsia="fr-FR"/>
                <w14:ligatures w14:val="standardContextual"/>
              </w:rPr>
              <w:tab/>
            </w:r>
            <w:r>
              <w:rPr>
                <w:rStyle w:val="Hyperlink"/>
                <w:rFonts w:asciiTheme="minorBidi" w:hAnsiTheme="minorBidi"/>
                <w:b/>
                <w:bCs/>
                <w:i/>
                <w:iCs/>
              </w:rPr>
              <w:t>Analyse statistique</w:t>
            </w:r>
            <w:r>
              <w:rPr>
                <w:rStyle w:val="Hyperlink"/>
                <w:rFonts w:asciiTheme="minorBidi" w:hAnsiTheme="minorBidi"/>
                <w:b/>
                <w:bCs/>
              </w:rPr>
              <w:t> :</w:t>
            </w:r>
            <w:r>
              <w:tab/>
            </w:r>
            <w:r>
              <w:fldChar w:fldCharType="begin"/>
            </w:r>
            <w:r>
              <w:instrText xml:space="preserve"> PAGEREF _Toc226577345 \h </w:instrText>
            </w:r>
            <w:r>
              <w:fldChar w:fldCharType="separate"/>
            </w:r>
            <w:r w:rsidR="003462B7">
              <w:rPr>
                <w:noProof/>
              </w:rPr>
              <w:t>47</w:t>
            </w:r>
            <w:r>
              <w:fldChar w:fldCharType="end"/>
            </w:r>
          </w:hyperlink>
        </w:p>
        <w:p w14:paraId="7239DA4A" w14:textId="0D0BF62D"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46" w:history="1">
            <w:r>
              <w:rPr>
                <w:rStyle w:val="Hyperlink"/>
                <w:rFonts w:ascii="Segoe Print" w:hAnsi="Segoe Print"/>
                <w:b/>
                <w:bCs/>
              </w:rPr>
              <w:t>Résultats et discussion</w:t>
            </w:r>
            <w:r>
              <w:tab/>
            </w:r>
            <w:r>
              <w:fldChar w:fldCharType="begin"/>
            </w:r>
            <w:r>
              <w:instrText xml:space="preserve"> PAGEREF _Toc226577346 \h </w:instrText>
            </w:r>
            <w:r>
              <w:fldChar w:fldCharType="separate"/>
            </w:r>
            <w:r w:rsidR="003462B7">
              <w:rPr>
                <w:noProof/>
              </w:rPr>
              <w:t>49</w:t>
            </w:r>
            <w:r>
              <w:fldChar w:fldCharType="end"/>
            </w:r>
          </w:hyperlink>
        </w:p>
        <w:p w14:paraId="30783F59" w14:textId="736BC7A5" w:rsidR="00502BB2" w:rsidRDefault="00502BB2">
          <w:pPr>
            <w:pStyle w:val="TOC2"/>
            <w:tabs>
              <w:tab w:val="left" w:pos="720"/>
              <w:tab w:val="right" w:leader="underscore" w:pos="9396"/>
            </w:tabs>
            <w:rPr>
              <w:rFonts w:cstheme="minorBidi"/>
              <w:kern w:val="2"/>
              <w:sz w:val="24"/>
              <w:szCs w:val="24"/>
              <w:lang w:val="fr-FR" w:eastAsia="fr-FR"/>
              <w14:ligatures w14:val="standardContextual"/>
            </w:rPr>
          </w:pPr>
          <w:hyperlink w:anchor="_Toc226577347" w:history="1">
            <w:r>
              <w:rPr>
                <w:rStyle w:val="Hyperlink"/>
                <w:rFonts w:asciiTheme="minorBidi" w:hAnsiTheme="minorBidi"/>
                <w:b/>
                <w:bCs/>
              </w:rPr>
              <w:t>I.</w:t>
            </w:r>
            <w:r>
              <w:rPr>
                <w:rFonts w:cstheme="minorBidi"/>
                <w:kern w:val="2"/>
                <w:sz w:val="24"/>
                <w:szCs w:val="24"/>
                <w:lang w:val="fr-FR" w:eastAsia="fr-FR"/>
                <w14:ligatures w14:val="standardContextual"/>
              </w:rPr>
              <w:tab/>
            </w:r>
            <w:r>
              <w:rPr>
                <w:rStyle w:val="Hyperlink"/>
                <w:rFonts w:asciiTheme="minorBidi" w:hAnsiTheme="minorBidi"/>
                <w:b/>
                <w:bCs/>
              </w:rPr>
              <w:t>Enquête par questionnaire</w:t>
            </w:r>
            <w:r>
              <w:tab/>
            </w:r>
            <w:r>
              <w:fldChar w:fldCharType="begin"/>
            </w:r>
            <w:r>
              <w:instrText xml:space="preserve"> PAGEREF _Toc226577347 \h </w:instrText>
            </w:r>
            <w:r>
              <w:fldChar w:fldCharType="separate"/>
            </w:r>
            <w:r w:rsidR="003462B7">
              <w:rPr>
                <w:noProof/>
              </w:rPr>
              <w:t>51</w:t>
            </w:r>
            <w:r>
              <w:fldChar w:fldCharType="end"/>
            </w:r>
          </w:hyperlink>
        </w:p>
        <w:p w14:paraId="1022F38E" w14:textId="3BED2E30" w:rsidR="00502BB2" w:rsidRDefault="00502BB2">
          <w:pPr>
            <w:pStyle w:val="TOC2"/>
            <w:tabs>
              <w:tab w:val="left" w:pos="720"/>
              <w:tab w:val="right" w:leader="underscore" w:pos="9396"/>
            </w:tabs>
            <w:rPr>
              <w:rFonts w:cstheme="minorBidi"/>
              <w:kern w:val="2"/>
              <w:sz w:val="24"/>
              <w:szCs w:val="24"/>
              <w:lang w:val="fr-FR" w:eastAsia="fr-FR"/>
              <w14:ligatures w14:val="standardContextual"/>
            </w:rPr>
          </w:pPr>
          <w:hyperlink w:anchor="_Toc226577348" w:history="1">
            <w:r>
              <w:rPr>
                <w:rStyle w:val="Hyperlink"/>
                <w:rFonts w:asciiTheme="minorBidi" w:hAnsiTheme="minorBidi"/>
                <w:b/>
                <w:bCs/>
              </w:rPr>
              <w:t>II.</w:t>
            </w:r>
            <w:r>
              <w:rPr>
                <w:rFonts w:cstheme="minorBidi"/>
                <w:kern w:val="2"/>
                <w:sz w:val="24"/>
                <w:szCs w:val="24"/>
                <w:lang w:val="fr-FR" w:eastAsia="fr-FR"/>
                <w14:ligatures w14:val="standardContextual"/>
              </w:rPr>
              <w:tab/>
            </w:r>
            <w:r>
              <w:rPr>
                <w:rStyle w:val="Hyperlink"/>
                <w:rFonts w:asciiTheme="minorBidi" w:hAnsiTheme="minorBidi"/>
                <w:b/>
                <w:bCs/>
              </w:rPr>
              <w:t>Variables étudiées</w:t>
            </w:r>
            <w:r>
              <w:tab/>
            </w:r>
            <w:r>
              <w:fldChar w:fldCharType="begin"/>
            </w:r>
            <w:r>
              <w:instrText xml:space="preserve"> PAGEREF _Toc226577348 \h </w:instrText>
            </w:r>
            <w:r>
              <w:fldChar w:fldCharType="separate"/>
            </w:r>
            <w:r w:rsidR="003462B7">
              <w:rPr>
                <w:noProof/>
              </w:rPr>
              <w:t>54</w:t>
            </w:r>
            <w:r>
              <w:fldChar w:fldCharType="end"/>
            </w:r>
          </w:hyperlink>
        </w:p>
        <w:p w14:paraId="27E6473C" w14:textId="662AA736"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49" w:history="1">
            <w:r>
              <w:rPr>
                <w:rStyle w:val="Hyperlink"/>
                <w:rFonts w:asciiTheme="minorBidi" w:hAnsiTheme="minorBidi"/>
                <w:b/>
                <w:bCs/>
              </w:rPr>
              <w:t>1.</w:t>
            </w:r>
            <w:r>
              <w:rPr>
                <w:rFonts w:cstheme="minorBidi"/>
                <w:kern w:val="2"/>
                <w:sz w:val="24"/>
                <w:szCs w:val="24"/>
                <w:lang w:val="fr-FR" w:eastAsia="fr-FR"/>
                <w14:ligatures w14:val="standardContextual"/>
              </w:rPr>
              <w:tab/>
            </w:r>
            <w:r>
              <w:rPr>
                <w:rStyle w:val="Hyperlink"/>
                <w:rFonts w:asciiTheme="minorBidi" w:hAnsiTheme="minorBidi"/>
                <w:b/>
                <w:bCs/>
              </w:rPr>
              <w:t>La glycémie :</w:t>
            </w:r>
            <w:r>
              <w:tab/>
            </w:r>
            <w:r>
              <w:fldChar w:fldCharType="begin"/>
            </w:r>
            <w:r>
              <w:instrText xml:space="preserve"> PAGEREF _Toc226577349 \h </w:instrText>
            </w:r>
            <w:r>
              <w:fldChar w:fldCharType="separate"/>
            </w:r>
            <w:r w:rsidR="003462B7">
              <w:rPr>
                <w:noProof/>
              </w:rPr>
              <w:t>54</w:t>
            </w:r>
            <w:r>
              <w:fldChar w:fldCharType="end"/>
            </w:r>
          </w:hyperlink>
        </w:p>
        <w:p w14:paraId="48478890" w14:textId="5EF9BBA0"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50" w:history="1">
            <w:r>
              <w:rPr>
                <w:rStyle w:val="Hyperlink"/>
                <w:rFonts w:asciiTheme="minorBidi" w:hAnsiTheme="minorBidi"/>
                <w:b/>
                <w:bCs/>
              </w:rPr>
              <w:t>2.</w:t>
            </w:r>
            <w:r>
              <w:rPr>
                <w:rFonts w:cstheme="minorBidi"/>
                <w:kern w:val="2"/>
                <w:sz w:val="24"/>
                <w:szCs w:val="24"/>
                <w:lang w:val="fr-FR" w:eastAsia="fr-FR"/>
                <w14:ligatures w14:val="standardContextual"/>
              </w:rPr>
              <w:tab/>
            </w:r>
            <w:r>
              <w:rPr>
                <w:rStyle w:val="Hyperlink"/>
                <w:rFonts w:asciiTheme="minorBidi" w:hAnsiTheme="minorBidi"/>
                <w:b/>
                <w:bCs/>
              </w:rPr>
              <w:t>L’hémoglobine glyquée :</w:t>
            </w:r>
            <w:r>
              <w:tab/>
            </w:r>
            <w:r>
              <w:fldChar w:fldCharType="begin"/>
            </w:r>
            <w:r>
              <w:instrText xml:space="preserve"> PAGEREF _Toc226577350 \h </w:instrText>
            </w:r>
            <w:r>
              <w:fldChar w:fldCharType="separate"/>
            </w:r>
            <w:r w:rsidR="003462B7">
              <w:rPr>
                <w:noProof/>
              </w:rPr>
              <w:t>56</w:t>
            </w:r>
            <w:r>
              <w:fldChar w:fldCharType="end"/>
            </w:r>
          </w:hyperlink>
        </w:p>
        <w:p w14:paraId="7B4EC5E4" w14:textId="68BEC498"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51" w:history="1">
            <w:r>
              <w:rPr>
                <w:rStyle w:val="Hyperlink"/>
                <w:rFonts w:asciiTheme="minorBidi" w:hAnsiTheme="minorBidi"/>
                <w:b/>
                <w:bCs/>
              </w:rPr>
              <w:t>3.</w:t>
            </w:r>
            <w:r>
              <w:rPr>
                <w:rFonts w:cstheme="minorBidi"/>
                <w:kern w:val="2"/>
                <w:sz w:val="24"/>
                <w:szCs w:val="24"/>
                <w:lang w:val="fr-FR" w:eastAsia="fr-FR"/>
                <w14:ligatures w14:val="standardContextual"/>
              </w:rPr>
              <w:tab/>
            </w:r>
            <w:r>
              <w:rPr>
                <w:rStyle w:val="Hyperlink"/>
                <w:rFonts w:asciiTheme="minorBidi" w:hAnsiTheme="minorBidi"/>
                <w:b/>
                <w:bCs/>
              </w:rPr>
              <w:t>Chimie des urines :</w:t>
            </w:r>
            <w:r>
              <w:tab/>
            </w:r>
            <w:r>
              <w:fldChar w:fldCharType="begin"/>
            </w:r>
            <w:r>
              <w:instrText xml:space="preserve"> PAGEREF _Toc226577351 \h </w:instrText>
            </w:r>
            <w:r>
              <w:fldChar w:fldCharType="separate"/>
            </w:r>
            <w:r w:rsidR="003462B7">
              <w:rPr>
                <w:noProof/>
              </w:rPr>
              <w:t>57</w:t>
            </w:r>
            <w:r>
              <w:fldChar w:fldCharType="end"/>
            </w:r>
          </w:hyperlink>
        </w:p>
        <w:p w14:paraId="180AA3E8" w14:textId="13DDB58B"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52" w:history="1">
            <w:r>
              <w:rPr>
                <w:rStyle w:val="Hyperlink"/>
                <w:rFonts w:asciiTheme="minorBidi" w:hAnsiTheme="minorBidi"/>
                <w:b/>
                <w:bCs/>
              </w:rPr>
              <w:t>4.</w:t>
            </w:r>
            <w:r>
              <w:rPr>
                <w:rFonts w:cstheme="minorBidi"/>
                <w:kern w:val="2"/>
                <w:sz w:val="24"/>
                <w:szCs w:val="24"/>
                <w:lang w:val="fr-FR" w:eastAsia="fr-FR"/>
                <w14:ligatures w14:val="standardContextual"/>
              </w:rPr>
              <w:tab/>
            </w:r>
            <w:r>
              <w:rPr>
                <w:rStyle w:val="Hyperlink"/>
                <w:rFonts w:asciiTheme="minorBidi" w:hAnsiTheme="minorBidi"/>
                <w:b/>
                <w:bCs/>
              </w:rPr>
              <w:t>Gazométrie</w:t>
            </w:r>
            <w:r>
              <w:tab/>
            </w:r>
            <w:r>
              <w:fldChar w:fldCharType="begin"/>
            </w:r>
            <w:r>
              <w:instrText xml:space="preserve"> PAGEREF _Toc226577352 \h </w:instrText>
            </w:r>
            <w:r>
              <w:fldChar w:fldCharType="separate"/>
            </w:r>
            <w:r w:rsidR="003462B7">
              <w:rPr>
                <w:noProof/>
              </w:rPr>
              <w:t>58</w:t>
            </w:r>
            <w:r>
              <w:fldChar w:fldCharType="end"/>
            </w:r>
          </w:hyperlink>
        </w:p>
        <w:p w14:paraId="6B3EBA4B" w14:textId="448E3993"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53" w:history="1">
            <w:r>
              <w:rPr>
                <w:rStyle w:val="Hyperlink"/>
                <w:rFonts w:asciiTheme="minorBidi" w:hAnsiTheme="minorBidi"/>
                <w:b/>
                <w:bCs/>
              </w:rPr>
              <w:t>5.</w:t>
            </w:r>
            <w:r>
              <w:rPr>
                <w:rFonts w:cstheme="minorBidi"/>
                <w:kern w:val="2"/>
                <w:sz w:val="24"/>
                <w:szCs w:val="24"/>
                <w:lang w:val="fr-FR" w:eastAsia="fr-FR"/>
                <w14:ligatures w14:val="standardContextual"/>
              </w:rPr>
              <w:tab/>
            </w:r>
            <w:r>
              <w:rPr>
                <w:rStyle w:val="Hyperlink"/>
                <w:rFonts w:asciiTheme="minorBidi" w:hAnsiTheme="minorBidi"/>
                <w:b/>
                <w:bCs/>
              </w:rPr>
              <w:t>Trou anionique (Anion gap) :</w:t>
            </w:r>
            <w:r>
              <w:tab/>
            </w:r>
            <w:r>
              <w:fldChar w:fldCharType="begin"/>
            </w:r>
            <w:r>
              <w:instrText xml:space="preserve"> PAGEREF _Toc226577353 \h </w:instrText>
            </w:r>
            <w:r>
              <w:fldChar w:fldCharType="separate"/>
            </w:r>
            <w:r w:rsidR="003462B7">
              <w:rPr>
                <w:noProof/>
              </w:rPr>
              <w:t>65</w:t>
            </w:r>
            <w:r>
              <w:fldChar w:fldCharType="end"/>
            </w:r>
          </w:hyperlink>
        </w:p>
        <w:p w14:paraId="607DC63B" w14:textId="00464A6C"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54" w:history="1">
            <w:r>
              <w:rPr>
                <w:rStyle w:val="Hyperlink"/>
                <w:rFonts w:asciiTheme="minorBidi" w:hAnsiTheme="minorBidi"/>
                <w:b/>
                <w:bCs/>
                <w:i/>
                <w:iCs/>
              </w:rPr>
              <w:t>6.</w:t>
            </w:r>
            <w:r>
              <w:rPr>
                <w:rFonts w:cstheme="minorBidi"/>
                <w:kern w:val="2"/>
                <w:sz w:val="24"/>
                <w:szCs w:val="24"/>
                <w:lang w:val="fr-FR" w:eastAsia="fr-FR"/>
                <w14:ligatures w14:val="standardContextual"/>
              </w:rPr>
              <w:tab/>
            </w:r>
            <w:r>
              <w:rPr>
                <w:rStyle w:val="Hyperlink"/>
                <w:rFonts w:asciiTheme="minorBidi" w:hAnsiTheme="minorBidi"/>
                <w:b/>
                <w:bCs/>
                <w:i/>
                <w:iCs/>
              </w:rPr>
              <w:t>Osmolarité</w:t>
            </w:r>
            <w:r>
              <w:tab/>
            </w:r>
            <w:r>
              <w:fldChar w:fldCharType="begin"/>
            </w:r>
            <w:r>
              <w:instrText xml:space="preserve"> PAGEREF _Toc226577354 \h </w:instrText>
            </w:r>
            <w:r>
              <w:fldChar w:fldCharType="separate"/>
            </w:r>
            <w:r w:rsidR="003462B7">
              <w:rPr>
                <w:noProof/>
              </w:rPr>
              <w:t>66</w:t>
            </w:r>
            <w:r>
              <w:fldChar w:fldCharType="end"/>
            </w:r>
          </w:hyperlink>
        </w:p>
        <w:p w14:paraId="542AB05B" w14:textId="0F57D38E"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55" w:history="1">
            <w:r>
              <w:rPr>
                <w:rStyle w:val="Hyperlink"/>
                <w:rFonts w:asciiTheme="minorBidi" w:hAnsiTheme="minorBidi"/>
                <w:b/>
                <w:bCs/>
              </w:rPr>
              <w:t>7.</w:t>
            </w:r>
            <w:r>
              <w:rPr>
                <w:rFonts w:cstheme="minorBidi"/>
                <w:kern w:val="2"/>
                <w:sz w:val="24"/>
                <w:szCs w:val="24"/>
                <w:lang w:val="fr-FR" w:eastAsia="fr-FR"/>
                <w14:ligatures w14:val="standardContextual"/>
              </w:rPr>
              <w:tab/>
            </w:r>
            <w:r>
              <w:rPr>
                <w:rStyle w:val="Hyperlink"/>
                <w:rFonts w:asciiTheme="minorBidi" w:hAnsiTheme="minorBidi"/>
                <w:b/>
                <w:bCs/>
              </w:rPr>
              <w:t>Score de Glasgow :</w:t>
            </w:r>
            <w:r>
              <w:tab/>
            </w:r>
            <w:r>
              <w:fldChar w:fldCharType="begin"/>
            </w:r>
            <w:r>
              <w:instrText xml:space="preserve"> PAGEREF _Toc226577355 \h </w:instrText>
            </w:r>
            <w:r>
              <w:fldChar w:fldCharType="separate"/>
            </w:r>
            <w:r w:rsidR="003462B7">
              <w:rPr>
                <w:noProof/>
              </w:rPr>
              <w:t>67</w:t>
            </w:r>
            <w:r>
              <w:fldChar w:fldCharType="end"/>
            </w:r>
          </w:hyperlink>
        </w:p>
        <w:p w14:paraId="04BC749F" w14:textId="504B5E28"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56" w:history="1">
            <w:r>
              <w:rPr>
                <w:rStyle w:val="Hyperlink"/>
                <w:rFonts w:asciiTheme="minorBidi" w:hAnsiTheme="minorBidi"/>
                <w:b/>
                <w:bCs/>
              </w:rPr>
              <w:t>8.</w:t>
            </w:r>
            <w:r>
              <w:rPr>
                <w:rFonts w:cstheme="minorBidi"/>
                <w:kern w:val="2"/>
                <w:sz w:val="24"/>
                <w:szCs w:val="24"/>
                <w:lang w:val="fr-FR" w:eastAsia="fr-FR"/>
                <w14:ligatures w14:val="standardContextual"/>
              </w:rPr>
              <w:tab/>
            </w:r>
            <w:r>
              <w:rPr>
                <w:rStyle w:val="Hyperlink"/>
                <w:rFonts w:asciiTheme="minorBidi" w:hAnsiTheme="minorBidi"/>
                <w:b/>
                <w:bCs/>
              </w:rPr>
              <w:t>Température :</w:t>
            </w:r>
            <w:r>
              <w:tab/>
            </w:r>
            <w:r>
              <w:fldChar w:fldCharType="begin"/>
            </w:r>
            <w:r>
              <w:instrText xml:space="preserve"> PAGEREF _Toc226577356 \h </w:instrText>
            </w:r>
            <w:r>
              <w:fldChar w:fldCharType="separate"/>
            </w:r>
            <w:r w:rsidR="003462B7">
              <w:rPr>
                <w:noProof/>
              </w:rPr>
              <w:t>68</w:t>
            </w:r>
            <w:r>
              <w:fldChar w:fldCharType="end"/>
            </w:r>
          </w:hyperlink>
        </w:p>
        <w:p w14:paraId="4CD297E8" w14:textId="118D320B" w:rsidR="00502BB2" w:rsidRDefault="00502BB2">
          <w:pPr>
            <w:pStyle w:val="TOC3"/>
            <w:tabs>
              <w:tab w:val="left" w:pos="960"/>
              <w:tab w:val="right" w:leader="underscore" w:pos="9396"/>
            </w:tabs>
            <w:rPr>
              <w:rFonts w:cstheme="minorBidi"/>
              <w:kern w:val="2"/>
              <w:sz w:val="24"/>
              <w:szCs w:val="24"/>
              <w:lang w:val="fr-FR" w:eastAsia="fr-FR"/>
              <w14:ligatures w14:val="standardContextual"/>
            </w:rPr>
          </w:pPr>
          <w:hyperlink w:anchor="_Toc226577357" w:history="1">
            <w:r>
              <w:rPr>
                <w:rStyle w:val="Hyperlink"/>
                <w:rFonts w:asciiTheme="minorBidi" w:hAnsiTheme="minorBidi"/>
                <w:b/>
                <w:bCs/>
              </w:rPr>
              <w:t>9.</w:t>
            </w:r>
            <w:r>
              <w:rPr>
                <w:rFonts w:cstheme="minorBidi"/>
                <w:kern w:val="2"/>
                <w:sz w:val="24"/>
                <w:szCs w:val="24"/>
                <w:lang w:val="fr-FR" w:eastAsia="fr-FR"/>
                <w14:ligatures w14:val="standardContextual"/>
              </w:rPr>
              <w:tab/>
            </w:r>
            <w:r>
              <w:rPr>
                <w:rStyle w:val="Hyperlink"/>
                <w:rFonts w:asciiTheme="minorBidi" w:hAnsiTheme="minorBidi"/>
                <w:b/>
                <w:bCs/>
              </w:rPr>
              <w:t>Tension artérielle :</w:t>
            </w:r>
            <w:r>
              <w:tab/>
            </w:r>
            <w:r>
              <w:fldChar w:fldCharType="begin"/>
            </w:r>
            <w:r>
              <w:instrText xml:space="preserve"> PAGEREF _Toc226577357 \h </w:instrText>
            </w:r>
            <w:r>
              <w:fldChar w:fldCharType="separate"/>
            </w:r>
            <w:r w:rsidR="003462B7">
              <w:rPr>
                <w:noProof/>
              </w:rPr>
              <w:t>69</w:t>
            </w:r>
            <w:r>
              <w:fldChar w:fldCharType="end"/>
            </w:r>
          </w:hyperlink>
        </w:p>
        <w:p w14:paraId="461A7633" w14:textId="67F4E0BA" w:rsidR="00502BB2" w:rsidRDefault="00502BB2">
          <w:pPr>
            <w:pStyle w:val="TOC3"/>
            <w:tabs>
              <w:tab w:val="left" w:pos="1200"/>
              <w:tab w:val="right" w:leader="underscore" w:pos="9396"/>
            </w:tabs>
            <w:rPr>
              <w:rFonts w:cstheme="minorBidi"/>
              <w:kern w:val="2"/>
              <w:sz w:val="24"/>
              <w:szCs w:val="24"/>
              <w:lang w:val="fr-FR" w:eastAsia="fr-FR"/>
              <w14:ligatures w14:val="standardContextual"/>
            </w:rPr>
          </w:pPr>
          <w:hyperlink w:anchor="_Toc226577358" w:history="1">
            <w:r>
              <w:rPr>
                <w:rStyle w:val="Hyperlink"/>
                <w:rFonts w:asciiTheme="minorBidi" w:hAnsiTheme="minorBidi"/>
                <w:b/>
                <w:bCs/>
              </w:rPr>
              <w:t>10.</w:t>
            </w:r>
            <w:r>
              <w:rPr>
                <w:rFonts w:cstheme="minorBidi"/>
                <w:kern w:val="2"/>
                <w:sz w:val="24"/>
                <w:szCs w:val="24"/>
                <w:lang w:val="fr-FR" w:eastAsia="fr-FR"/>
                <w14:ligatures w14:val="standardContextual"/>
              </w:rPr>
              <w:tab/>
            </w:r>
            <w:r>
              <w:rPr>
                <w:rStyle w:val="Hyperlink"/>
                <w:rFonts w:asciiTheme="minorBidi" w:hAnsiTheme="minorBidi"/>
                <w:b/>
                <w:bCs/>
              </w:rPr>
              <w:t>Fréquence cardiaque :</w:t>
            </w:r>
            <w:r>
              <w:tab/>
            </w:r>
            <w:r>
              <w:fldChar w:fldCharType="begin"/>
            </w:r>
            <w:r>
              <w:instrText xml:space="preserve"> PAGEREF _Toc226577358 \h </w:instrText>
            </w:r>
            <w:r>
              <w:fldChar w:fldCharType="separate"/>
            </w:r>
            <w:r w:rsidR="003462B7">
              <w:rPr>
                <w:noProof/>
              </w:rPr>
              <w:t>70</w:t>
            </w:r>
            <w:r>
              <w:fldChar w:fldCharType="end"/>
            </w:r>
          </w:hyperlink>
        </w:p>
        <w:p w14:paraId="003550FB" w14:textId="0E159668" w:rsidR="00502BB2" w:rsidRDefault="00502BB2">
          <w:pPr>
            <w:pStyle w:val="TOC3"/>
            <w:tabs>
              <w:tab w:val="left" w:pos="1200"/>
              <w:tab w:val="right" w:leader="underscore" w:pos="9396"/>
            </w:tabs>
            <w:rPr>
              <w:rFonts w:cstheme="minorBidi"/>
              <w:kern w:val="2"/>
              <w:sz w:val="24"/>
              <w:szCs w:val="24"/>
              <w:lang w:val="fr-FR" w:eastAsia="fr-FR"/>
              <w14:ligatures w14:val="standardContextual"/>
            </w:rPr>
          </w:pPr>
          <w:hyperlink w:anchor="_Toc226577359" w:history="1">
            <w:r>
              <w:rPr>
                <w:rStyle w:val="Hyperlink"/>
                <w:rFonts w:asciiTheme="minorBidi" w:hAnsiTheme="minorBidi"/>
                <w:b/>
                <w:bCs/>
              </w:rPr>
              <w:t>11.</w:t>
            </w:r>
            <w:r>
              <w:rPr>
                <w:rFonts w:cstheme="minorBidi"/>
                <w:kern w:val="2"/>
                <w:sz w:val="24"/>
                <w:szCs w:val="24"/>
                <w:lang w:val="fr-FR" w:eastAsia="fr-FR"/>
                <w14:ligatures w14:val="standardContextual"/>
              </w:rPr>
              <w:tab/>
            </w:r>
            <w:r>
              <w:rPr>
                <w:rStyle w:val="Hyperlink"/>
                <w:rFonts w:asciiTheme="minorBidi" w:hAnsiTheme="minorBidi"/>
                <w:b/>
                <w:bCs/>
              </w:rPr>
              <w:t>Fréquence respiratoire :</w:t>
            </w:r>
            <w:r>
              <w:tab/>
            </w:r>
            <w:r>
              <w:fldChar w:fldCharType="begin"/>
            </w:r>
            <w:r>
              <w:instrText xml:space="preserve"> PAGEREF _Toc226577359 \h </w:instrText>
            </w:r>
            <w:r>
              <w:fldChar w:fldCharType="separate"/>
            </w:r>
            <w:r w:rsidR="003462B7">
              <w:rPr>
                <w:noProof/>
              </w:rPr>
              <w:t>71</w:t>
            </w:r>
            <w:r>
              <w:fldChar w:fldCharType="end"/>
            </w:r>
          </w:hyperlink>
        </w:p>
        <w:p w14:paraId="1870677B" w14:textId="0E06D61F" w:rsidR="00502BB2" w:rsidRDefault="00502BB2">
          <w:pPr>
            <w:pStyle w:val="TOC3"/>
            <w:tabs>
              <w:tab w:val="left" w:pos="1200"/>
              <w:tab w:val="right" w:leader="underscore" w:pos="9396"/>
            </w:tabs>
            <w:rPr>
              <w:rFonts w:cstheme="minorBidi"/>
              <w:kern w:val="2"/>
              <w:sz w:val="24"/>
              <w:szCs w:val="24"/>
              <w:lang w:val="fr-FR" w:eastAsia="fr-FR"/>
              <w14:ligatures w14:val="standardContextual"/>
            </w:rPr>
          </w:pPr>
          <w:hyperlink w:anchor="_Toc226577360" w:history="1">
            <w:r>
              <w:rPr>
                <w:rStyle w:val="Hyperlink"/>
                <w:rFonts w:asciiTheme="minorBidi" w:hAnsiTheme="minorBidi"/>
                <w:b/>
                <w:bCs/>
              </w:rPr>
              <w:t>12.</w:t>
            </w:r>
            <w:r>
              <w:rPr>
                <w:rFonts w:cstheme="minorBidi"/>
                <w:kern w:val="2"/>
                <w:sz w:val="24"/>
                <w:szCs w:val="24"/>
                <w:lang w:val="fr-FR" w:eastAsia="fr-FR"/>
                <w14:ligatures w14:val="standardContextual"/>
              </w:rPr>
              <w:tab/>
            </w:r>
            <w:r>
              <w:rPr>
                <w:rStyle w:val="Hyperlink"/>
                <w:rFonts w:asciiTheme="minorBidi" w:hAnsiTheme="minorBidi"/>
                <w:b/>
                <w:bCs/>
              </w:rPr>
              <w:t>Paramètres sanguins :</w:t>
            </w:r>
            <w:r>
              <w:tab/>
            </w:r>
            <w:r>
              <w:fldChar w:fldCharType="begin"/>
            </w:r>
            <w:r>
              <w:instrText xml:space="preserve"> PAGEREF _Toc226577360 \h </w:instrText>
            </w:r>
            <w:r>
              <w:fldChar w:fldCharType="separate"/>
            </w:r>
            <w:r w:rsidR="003462B7">
              <w:rPr>
                <w:noProof/>
              </w:rPr>
              <w:t>72</w:t>
            </w:r>
            <w:r>
              <w:fldChar w:fldCharType="end"/>
            </w:r>
          </w:hyperlink>
        </w:p>
        <w:p w14:paraId="2B3E994D" w14:textId="3BD9AE3B" w:rsidR="00502BB2" w:rsidRDefault="00502BB2">
          <w:pPr>
            <w:pStyle w:val="TOC3"/>
            <w:tabs>
              <w:tab w:val="left" w:pos="1200"/>
              <w:tab w:val="right" w:leader="underscore" w:pos="9396"/>
            </w:tabs>
            <w:rPr>
              <w:rFonts w:cstheme="minorBidi"/>
              <w:kern w:val="2"/>
              <w:sz w:val="24"/>
              <w:szCs w:val="24"/>
              <w:lang w:val="fr-FR" w:eastAsia="fr-FR"/>
              <w14:ligatures w14:val="standardContextual"/>
            </w:rPr>
          </w:pPr>
          <w:hyperlink w:anchor="_Toc226577361" w:history="1">
            <w:r>
              <w:rPr>
                <w:rStyle w:val="Hyperlink"/>
                <w:rFonts w:asciiTheme="minorBidi" w:hAnsiTheme="minorBidi"/>
                <w:b/>
                <w:bCs/>
              </w:rPr>
              <w:t>13.</w:t>
            </w:r>
            <w:r>
              <w:rPr>
                <w:rFonts w:cstheme="minorBidi"/>
                <w:kern w:val="2"/>
                <w:sz w:val="24"/>
                <w:szCs w:val="24"/>
                <w:lang w:val="fr-FR" w:eastAsia="fr-FR"/>
                <w14:ligatures w14:val="standardContextual"/>
              </w:rPr>
              <w:tab/>
            </w:r>
            <w:r>
              <w:rPr>
                <w:rStyle w:val="Hyperlink"/>
                <w:rFonts w:asciiTheme="minorBidi" w:hAnsiTheme="minorBidi"/>
                <w:b/>
                <w:bCs/>
              </w:rPr>
              <w:t>Paramètres lipidiques</w:t>
            </w:r>
            <w:r>
              <w:rPr>
                <w:rStyle w:val="Hyperlink"/>
              </w:rPr>
              <w:t> :</w:t>
            </w:r>
            <w:r>
              <w:tab/>
            </w:r>
            <w:r>
              <w:fldChar w:fldCharType="begin"/>
            </w:r>
            <w:r>
              <w:instrText xml:space="preserve"> PAGEREF _Toc226577361 \h </w:instrText>
            </w:r>
            <w:r>
              <w:fldChar w:fldCharType="separate"/>
            </w:r>
            <w:r w:rsidR="003462B7">
              <w:rPr>
                <w:noProof/>
              </w:rPr>
              <w:t>79</w:t>
            </w:r>
            <w:r>
              <w:fldChar w:fldCharType="end"/>
            </w:r>
          </w:hyperlink>
        </w:p>
        <w:p w14:paraId="1B8BE8FC" w14:textId="2EE082A3" w:rsidR="00502BB2" w:rsidRDefault="00502BB2">
          <w:pPr>
            <w:pStyle w:val="TOC3"/>
            <w:tabs>
              <w:tab w:val="left" w:pos="1200"/>
              <w:tab w:val="right" w:leader="underscore" w:pos="9396"/>
            </w:tabs>
            <w:rPr>
              <w:rFonts w:cstheme="minorBidi"/>
              <w:kern w:val="2"/>
              <w:sz w:val="24"/>
              <w:szCs w:val="24"/>
              <w:lang w:val="fr-FR" w:eastAsia="fr-FR"/>
              <w14:ligatures w14:val="standardContextual"/>
            </w:rPr>
          </w:pPr>
          <w:hyperlink w:anchor="_Toc226577362" w:history="1">
            <w:r>
              <w:rPr>
                <w:rStyle w:val="Hyperlink"/>
                <w:rFonts w:asciiTheme="minorBidi" w:hAnsiTheme="minorBidi"/>
                <w:b/>
                <w:bCs/>
              </w:rPr>
              <w:t>14.</w:t>
            </w:r>
            <w:r>
              <w:rPr>
                <w:rFonts w:cstheme="minorBidi"/>
                <w:kern w:val="2"/>
                <w:sz w:val="24"/>
                <w:szCs w:val="24"/>
                <w:lang w:val="fr-FR" w:eastAsia="fr-FR"/>
                <w14:ligatures w14:val="standardContextual"/>
              </w:rPr>
              <w:tab/>
            </w:r>
            <w:r>
              <w:rPr>
                <w:rStyle w:val="Hyperlink"/>
                <w:rFonts w:asciiTheme="minorBidi" w:hAnsiTheme="minorBidi"/>
                <w:b/>
                <w:bCs/>
              </w:rPr>
              <w:t>Paramètres hépatiques :</w:t>
            </w:r>
            <w:r>
              <w:tab/>
            </w:r>
            <w:r>
              <w:fldChar w:fldCharType="begin"/>
            </w:r>
            <w:r>
              <w:instrText xml:space="preserve"> PAGEREF _Toc226577362 \h </w:instrText>
            </w:r>
            <w:r>
              <w:fldChar w:fldCharType="separate"/>
            </w:r>
            <w:r w:rsidR="003462B7">
              <w:rPr>
                <w:noProof/>
              </w:rPr>
              <w:t>80</w:t>
            </w:r>
            <w:r>
              <w:fldChar w:fldCharType="end"/>
            </w:r>
          </w:hyperlink>
        </w:p>
        <w:p w14:paraId="6175D892" w14:textId="0CD6C297" w:rsidR="00502BB2" w:rsidRDefault="00502BB2">
          <w:pPr>
            <w:pStyle w:val="TOC3"/>
            <w:tabs>
              <w:tab w:val="left" w:pos="1200"/>
              <w:tab w:val="right" w:leader="underscore" w:pos="9396"/>
            </w:tabs>
            <w:rPr>
              <w:rFonts w:cstheme="minorBidi"/>
              <w:kern w:val="2"/>
              <w:sz w:val="24"/>
              <w:szCs w:val="24"/>
              <w:lang w:val="fr-FR" w:eastAsia="fr-FR"/>
              <w14:ligatures w14:val="standardContextual"/>
            </w:rPr>
          </w:pPr>
          <w:hyperlink w:anchor="_Toc226577363" w:history="1">
            <w:r>
              <w:rPr>
                <w:rStyle w:val="Hyperlink"/>
                <w:rFonts w:asciiTheme="minorBidi" w:hAnsiTheme="minorBidi"/>
                <w:b/>
                <w:bCs/>
              </w:rPr>
              <w:t>15.</w:t>
            </w:r>
            <w:r>
              <w:rPr>
                <w:rFonts w:cstheme="minorBidi"/>
                <w:kern w:val="2"/>
                <w:sz w:val="24"/>
                <w:szCs w:val="24"/>
                <w:lang w:val="fr-FR" w:eastAsia="fr-FR"/>
                <w14:ligatures w14:val="standardContextual"/>
              </w:rPr>
              <w:tab/>
            </w:r>
            <w:r>
              <w:rPr>
                <w:rStyle w:val="Hyperlink"/>
                <w:rFonts w:asciiTheme="minorBidi" w:hAnsiTheme="minorBidi"/>
                <w:b/>
                <w:bCs/>
              </w:rPr>
              <w:t>Paramètres de la fonction rénale :</w:t>
            </w:r>
            <w:r>
              <w:tab/>
            </w:r>
            <w:r>
              <w:fldChar w:fldCharType="begin"/>
            </w:r>
            <w:r>
              <w:instrText xml:space="preserve"> PAGEREF _Toc226577363 \h </w:instrText>
            </w:r>
            <w:r>
              <w:fldChar w:fldCharType="separate"/>
            </w:r>
            <w:r w:rsidR="003462B7">
              <w:rPr>
                <w:noProof/>
              </w:rPr>
              <w:t>82</w:t>
            </w:r>
            <w:r>
              <w:fldChar w:fldCharType="end"/>
            </w:r>
          </w:hyperlink>
        </w:p>
        <w:p w14:paraId="01024EC1" w14:textId="137EF8BB" w:rsidR="00502BB2" w:rsidRDefault="00502BB2">
          <w:pPr>
            <w:pStyle w:val="TOC3"/>
            <w:tabs>
              <w:tab w:val="left" w:pos="1200"/>
              <w:tab w:val="right" w:leader="underscore" w:pos="9396"/>
            </w:tabs>
            <w:rPr>
              <w:rFonts w:cstheme="minorBidi"/>
              <w:kern w:val="2"/>
              <w:sz w:val="24"/>
              <w:szCs w:val="24"/>
              <w:lang w:val="fr-FR" w:eastAsia="fr-FR"/>
              <w14:ligatures w14:val="standardContextual"/>
            </w:rPr>
          </w:pPr>
          <w:hyperlink w:anchor="_Toc226577364" w:history="1">
            <w:r>
              <w:rPr>
                <w:rStyle w:val="Hyperlink"/>
                <w:rFonts w:asciiTheme="minorBidi" w:hAnsiTheme="minorBidi"/>
                <w:b/>
                <w:bCs/>
              </w:rPr>
              <w:t>16.</w:t>
            </w:r>
            <w:r>
              <w:rPr>
                <w:rFonts w:cstheme="minorBidi"/>
                <w:kern w:val="2"/>
                <w:sz w:val="24"/>
                <w:szCs w:val="24"/>
                <w:lang w:val="fr-FR" w:eastAsia="fr-FR"/>
                <w14:ligatures w14:val="standardContextual"/>
              </w:rPr>
              <w:tab/>
            </w:r>
            <w:r>
              <w:rPr>
                <w:rStyle w:val="Hyperlink"/>
                <w:rFonts w:asciiTheme="minorBidi" w:hAnsiTheme="minorBidi"/>
                <w:b/>
                <w:bCs/>
              </w:rPr>
              <w:t>Test de corrélation :</w:t>
            </w:r>
            <w:r>
              <w:tab/>
            </w:r>
            <w:r>
              <w:fldChar w:fldCharType="begin"/>
            </w:r>
            <w:r>
              <w:instrText xml:space="preserve"> PAGEREF _Toc226577364 \h </w:instrText>
            </w:r>
            <w:r>
              <w:fldChar w:fldCharType="separate"/>
            </w:r>
            <w:r w:rsidR="003462B7">
              <w:rPr>
                <w:noProof/>
              </w:rPr>
              <w:t>84</w:t>
            </w:r>
            <w:r>
              <w:fldChar w:fldCharType="end"/>
            </w:r>
          </w:hyperlink>
        </w:p>
        <w:p w14:paraId="5094034D" w14:textId="16B0CBA2"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65" w:history="1">
            <w:r>
              <w:rPr>
                <w:rStyle w:val="Hyperlink"/>
                <w:rFonts w:ascii="Segoe Print" w:hAnsi="Segoe Print"/>
                <w:b/>
                <w:bCs/>
              </w:rPr>
              <w:t>Discussion générale</w:t>
            </w:r>
            <w:r>
              <w:tab/>
            </w:r>
            <w:r>
              <w:fldChar w:fldCharType="begin"/>
            </w:r>
            <w:r>
              <w:instrText xml:space="preserve"> PAGEREF _Toc226577365 \h </w:instrText>
            </w:r>
            <w:r>
              <w:fldChar w:fldCharType="separate"/>
            </w:r>
            <w:r w:rsidR="003462B7">
              <w:rPr>
                <w:noProof/>
              </w:rPr>
              <w:t>87</w:t>
            </w:r>
            <w:r>
              <w:fldChar w:fldCharType="end"/>
            </w:r>
          </w:hyperlink>
        </w:p>
        <w:p w14:paraId="594F7BDC" w14:textId="400DA04B"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66" w:history="1">
            <w:r>
              <w:rPr>
                <w:rStyle w:val="Hyperlink"/>
                <w:rFonts w:ascii="Segoe Print" w:hAnsi="Segoe Print"/>
                <w:b/>
                <w:bCs/>
              </w:rPr>
              <w:t>Conclusion</w:t>
            </w:r>
            <w:r>
              <w:tab/>
            </w:r>
            <w:r>
              <w:fldChar w:fldCharType="begin"/>
            </w:r>
            <w:r>
              <w:instrText xml:space="preserve"> PAGEREF _Toc226577366 \h </w:instrText>
            </w:r>
            <w:r>
              <w:fldChar w:fldCharType="separate"/>
            </w:r>
            <w:r w:rsidR="003462B7">
              <w:rPr>
                <w:noProof/>
              </w:rPr>
              <w:t>96</w:t>
            </w:r>
            <w:r>
              <w:fldChar w:fldCharType="end"/>
            </w:r>
          </w:hyperlink>
        </w:p>
        <w:p w14:paraId="594F98E3" w14:textId="3D8EF560"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67" w:history="1">
            <w:r>
              <w:rPr>
                <w:rStyle w:val="Hyperlink"/>
                <w:rFonts w:ascii="Segoe Print" w:hAnsi="Segoe Print"/>
                <w:b/>
                <w:bCs/>
              </w:rPr>
              <w:t>Bibliography</w:t>
            </w:r>
            <w:r>
              <w:tab/>
            </w:r>
            <w:r>
              <w:fldChar w:fldCharType="begin"/>
            </w:r>
            <w:r>
              <w:instrText xml:space="preserve"> PAGEREF _Toc226577367 \h </w:instrText>
            </w:r>
            <w:r>
              <w:fldChar w:fldCharType="separate"/>
            </w:r>
            <w:r w:rsidR="003462B7">
              <w:rPr>
                <w:noProof/>
              </w:rPr>
              <w:t>99</w:t>
            </w:r>
            <w:r>
              <w:fldChar w:fldCharType="end"/>
            </w:r>
          </w:hyperlink>
        </w:p>
        <w:p w14:paraId="5DA920DE" w14:textId="2922F204" w:rsidR="00502BB2" w:rsidRDefault="00502BB2">
          <w:pPr>
            <w:pStyle w:val="TOC1"/>
            <w:tabs>
              <w:tab w:val="right" w:leader="underscore" w:pos="9396"/>
            </w:tabs>
            <w:rPr>
              <w:rFonts w:cstheme="minorBidi"/>
              <w:kern w:val="2"/>
              <w:sz w:val="24"/>
              <w:szCs w:val="24"/>
              <w:lang w:val="fr-FR" w:eastAsia="fr-FR"/>
              <w14:ligatures w14:val="standardContextual"/>
            </w:rPr>
          </w:pPr>
          <w:hyperlink w:anchor="_Toc226577368" w:history="1">
            <w:r>
              <w:rPr>
                <w:rStyle w:val="Hyperlink"/>
                <w:rFonts w:ascii="Segoe Print" w:hAnsi="Segoe Print"/>
                <w:b/>
                <w:bCs/>
              </w:rPr>
              <w:t>Annexes</w:t>
            </w:r>
            <w:r>
              <w:tab/>
            </w:r>
            <w:r>
              <w:fldChar w:fldCharType="begin"/>
            </w:r>
            <w:r>
              <w:instrText xml:space="preserve"> PAGEREF _Toc226577368 \h </w:instrText>
            </w:r>
            <w:r>
              <w:fldChar w:fldCharType="separate"/>
            </w:r>
            <w:r w:rsidR="003462B7">
              <w:rPr>
                <w:noProof/>
              </w:rPr>
              <w:t>105</w:t>
            </w:r>
            <w:r>
              <w:fldChar w:fldCharType="end"/>
            </w:r>
          </w:hyperlink>
        </w:p>
        <w:p w14:paraId="3C5ECDC6" w14:textId="15381725"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69" w:history="1">
            <w:r>
              <w:rPr>
                <w:rStyle w:val="Hyperlink"/>
                <w:rFonts w:asciiTheme="minorBidi" w:hAnsiTheme="minorBidi"/>
                <w:b/>
                <w:bCs/>
              </w:rPr>
              <w:t>Annexe 1 :</w:t>
            </w:r>
            <w:r>
              <w:tab/>
            </w:r>
            <w:r>
              <w:fldChar w:fldCharType="begin"/>
            </w:r>
            <w:r>
              <w:instrText xml:space="preserve"> PAGEREF _Toc226577369 \h </w:instrText>
            </w:r>
            <w:r>
              <w:fldChar w:fldCharType="separate"/>
            </w:r>
            <w:r w:rsidR="003462B7">
              <w:rPr>
                <w:noProof/>
              </w:rPr>
              <w:t>105</w:t>
            </w:r>
            <w:r>
              <w:fldChar w:fldCharType="end"/>
            </w:r>
          </w:hyperlink>
        </w:p>
        <w:p w14:paraId="1C08F8B4" w14:textId="63038748"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70" w:history="1">
            <w:r>
              <w:rPr>
                <w:rStyle w:val="Hyperlink"/>
                <w:rFonts w:asciiTheme="minorBidi" w:hAnsiTheme="minorBidi"/>
                <w:b/>
                <w:bCs/>
              </w:rPr>
              <w:t>Annexe 2 :</w:t>
            </w:r>
            <w:r>
              <w:tab/>
            </w:r>
            <w:r>
              <w:fldChar w:fldCharType="begin"/>
            </w:r>
            <w:r>
              <w:instrText xml:space="preserve"> PAGEREF _Toc226577370 \h </w:instrText>
            </w:r>
            <w:r>
              <w:fldChar w:fldCharType="separate"/>
            </w:r>
            <w:r w:rsidR="003462B7">
              <w:rPr>
                <w:noProof/>
              </w:rPr>
              <w:t>106</w:t>
            </w:r>
            <w:r>
              <w:fldChar w:fldCharType="end"/>
            </w:r>
          </w:hyperlink>
        </w:p>
        <w:p w14:paraId="1F39C7B7" w14:textId="06E3F8E1"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71" w:history="1">
            <w:r>
              <w:rPr>
                <w:rStyle w:val="Hyperlink"/>
                <w:rFonts w:asciiTheme="minorBidi" w:hAnsiTheme="minorBidi"/>
                <w:b/>
                <w:bCs/>
              </w:rPr>
              <w:t>Annexe 3 :</w:t>
            </w:r>
            <w:r>
              <w:tab/>
            </w:r>
            <w:r>
              <w:fldChar w:fldCharType="begin"/>
            </w:r>
            <w:r>
              <w:instrText xml:space="preserve"> PAGEREF _Toc226577371 \h </w:instrText>
            </w:r>
            <w:r>
              <w:fldChar w:fldCharType="separate"/>
            </w:r>
            <w:r w:rsidR="003462B7">
              <w:rPr>
                <w:noProof/>
              </w:rPr>
              <w:t>108</w:t>
            </w:r>
            <w:r>
              <w:fldChar w:fldCharType="end"/>
            </w:r>
          </w:hyperlink>
        </w:p>
        <w:p w14:paraId="06AF8569" w14:textId="20A70719" w:rsidR="00502BB2" w:rsidRDefault="00502BB2">
          <w:pPr>
            <w:pStyle w:val="TOC2"/>
            <w:tabs>
              <w:tab w:val="right" w:leader="underscore" w:pos="9396"/>
            </w:tabs>
            <w:rPr>
              <w:rFonts w:cstheme="minorBidi"/>
              <w:kern w:val="2"/>
              <w:sz w:val="24"/>
              <w:szCs w:val="24"/>
              <w:lang w:val="fr-FR" w:eastAsia="fr-FR"/>
              <w14:ligatures w14:val="standardContextual"/>
            </w:rPr>
          </w:pPr>
          <w:hyperlink w:anchor="_Toc226577372" w:history="1">
            <w:r>
              <w:rPr>
                <w:rStyle w:val="Hyperlink"/>
                <w:rFonts w:asciiTheme="minorBidi" w:hAnsiTheme="minorBidi"/>
                <w:b/>
                <w:bCs/>
              </w:rPr>
              <w:t>Annexe 4 :</w:t>
            </w:r>
            <w:r>
              <w:tab/>
            </w:r>
            <w:r>
              <w:fldChar w:fldCharType="begin"/>
            </w:r>
            <w:r>
              <w:instrText xml:space="preserve"> PAGEREF _Toc226577372 \h </w:instrText>
            </w:r>
            <w:r>
              <w:fldChar w:fldCharType="separate"/>
            </w:r>
            <w:r w:rsidR="003462B7">
              <w:rPr>
                <w:noProof/>
              </w:rPr>
              <w:t>113</w:t>
            </w:r>
            <w:r>
              <w:fldChar w:fldCharType="end"/>
            </w:r>
          </w:hyperlink>
        </w:p>
        <w:p w14:paraId="169DBD07" w14:textId="77777777" w:rsidR="00502BB2" w:rsidRDefault="0069123E">
          <w:r>
            <w:rPr>
              <w:b/>
              <w:bCs/>
              <w:color w:val="0D0D0D" w:themeColor="text1" w:themeTint="F2"/>
            </w:rPr>
            <w:fldChar w:fldCharType="end"/>
          </w:r>
        </w:p>
      </w:sdtContent>
    </w:sdt>
    <w:p w14:paraId="3C696BA4" w14:textId="77777777" w:rsidR="00502BB2" w:rsidRDefault="00502BB2">
      <w:pPr>
        <w:sectPr w:rsidR="00502BB2">
          <w:pgSz w:w="12240" w:h="15840"/>
          <w:pgMar w:top="1417" w:right="1417" w:bottom="1417" w:left="1417" w:header="720" w:footer="720" w:gutter="0"/>
          <w:cols w:space="720"/>
        </w:sectPr>
      </w:pPr>
    </w:p>
    <w:p w14:paraId="335351F7" w14:textId="77777777" w:rsidR="00502BB2" w:rsidRDefault="0069123E">
      <w:r>
        <w:rPr>
          <w:noProof/>
        </w:rPr>
        <w:lastRenderedPageBreak/>
        <mc:AlternateContent>
          <mc:Choice Requires="wps">
            <w:drawing>
              <wp:anchor distT="0" distB="0" distL="114300" distR="114300" simplePos="0" relativeHeight="251688960" behindDoc="0" locked="0" layoutInCell="1" allowOverlap="1" wp14:anchorId="1390D2C6" wp14:editId="35F2C08F">
                <wp:simplePos x="0" y="0"/>
                <wp:positionH relativeFrom="margin">
                  <wp:align>right</wp:align>
                </wp:positionH>
                <wp:positionV relativeFrom="paragraph">
                  <wp:posOffset>3317875</wp:posOffset>
                </wp:positionV>
                <wp:extent cx="4857750" cy="3520440"/>
                <wp:effectExtent l="0" t="0" r="0" b="3810"/>
                <wp:wrapNone/>
                <wp:docPr id="704815308" name="Text Box 1"/>
                <wp:cNvGraphicFramePr/>
                <a:graphic xmlns:a="http://schemas.openxmlformats.org/drawingml/2006/main">
                  <a:graphicData uri="http://schemas.microsoft.com/office/word/2010/wordprocessingShape">
                    <wps:wsp>
                      <wps:cNvSpPr txBox="1"/>
                      <wps:spPr>
                        <a:xfrm>
                          <a:off x="0" y="0"/>
                          <a:ext cx="4857750" cy="35204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23F2EB6"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INTRODUCTION</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390D2C6" id="Text Box 1" o:spid="_x0000_s1043" type="#_x0000_t202" style="position:absolute;margin-left:331.3pt;margin-top:261.25pt;width:382.5pt;height:277.2pt;z-index:2516889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lC8UQIAAP4EAAAOAAAAZHJzL2Uyb0RvYy54bWysVN2PEjEQfzfxf2j6LgsIchKWC3LBmBDv&#10;IhqfS7eFxrZT28Iu/vVOuyzgx8sZX9rpfM9vZjq7b4wmR+GDAlvSQa9PibAcKmV3Jf3yefXqjpIQ&#10;ma2YBitKehKB3s9fvpjVbiqGsAddCU/QiQ3T2pV0H6ObFkXge2FY6IETFoUSvGERn35XVJ7V6N3o&#10;Ytjvvylq8JXzwEUIyH1ohXSe/UspeHyUMohIdEkxt5hPn89tOov5jE13nrm94uc02D9kYZiyGPTi&#10;6oFFRg5e/eHKKO4hgIw9DqYAKRUXuQasZtD/rZrNnjmRa0FwgrvAFP6fW/7xuHFPnsTmHTTYwARI&#10;7cI0IDPV00hv0o2ZEpQjhKcLbKKJhCNzdDeeTMYo4ih7PR72R6MMbHE1dz7E9wIMSURJPfYlw8WO&#10;6xAxJKp2KimahZXSOvdG218YqJg4xTXHTMWTFklP209CElXlVBMjcL/bLrUnbc9xKDHPrvPZGRok&#10;RYkBn2l7NknWIo/aM+0vRjk+2HixN8qCzwDlRRCpgCPDEa6+5Q5h4rLV76BoAUhYxGbbIALYy0nX&#10;zC1UJ+yxh3b8g+MrhX1YsxCfmMd5R0xwh+MjHlJDXVI4U5Tswf/4Gz/p4xiilJIa96ek4fuBeUGJ&#10;/mBxQN8O0hSQmB+j8WSID38r2d5K7MEsAesb4G/heCaTftQdKT2Yr7jqixQVRcxyjF3S2JHL2HYY&#10;vwouFoushCvmWFzbjePJdYLZwuIQQao8dAmuFpszjLhkeRbPH0La4tt31rp+W/OfAAAA//8DAFBL&#10;AwQUAAYACAAAACEA5FZjh90AAAAJAQAADwAAAGRycy9kb3ducmV2LnhtbEyPwU7DMBBE70j8g7VI&#10;vVGbqElpiFMhUK9FFKjUmxtvk4h4HcVuE/6e5USPOzOafVOsJ9eJCw6h9aThYa5AIFXetlRr+PzY&#10;3D+CCNGQNZ0n1PCDAdbl7U1hcutHesfLLtaCSyjkRkMTY59LGaoGnQlz3yOxd/KDM5HPoZZ2MCOX&#10;u04mSmXSmZb4Q2N6fGmw+t6dnYav7emwX6i3+tWl/egnJcmtpNazu+n5CUTEKf6H4Q+f0aFkpqM/&#10;kw2i08BDooY0SVIQbC+zlJUj59QyW4EsC3m9oPwFAAD//wMAUEsBAi0AFAAGAAgAAAAhALaDOJL+&#10;AAAA4QEAABMAAAAAAAAAAAAAAAAAAAAAAFtDb250ZW50X1R5cGVzXS54bWxQSwECLQAUAAYACAAA&#10;ACEAOP0h/9YAAACUAQAACwAAAAAAAAAAAAAAAAAvAQAAX3JlbHMvLnJlbHNQSwECLQAUAAYACAAA&#10;ACEA9S5QvFECAAD+BAAADgAAAAAAAAAAAAAAAAAuAgAAZHJzL2Uyb0RvYy54bWxQSwECLQAUAAYA&#10;CAAAACEA5FZjh90AAAAJAQAADwAAAAAAAAAAAAAAAACrBAAAZHJzL2Rvd25yZXYueG1sUEsFBgAA&#10;AAAEAAQA8wAAALUFAAAAAA==&#10;" filled="f" stroked="f">
                <v:textbox>
                  <w:txbxContent>
                    <w:p w14:paraId="323F2EB6"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INTRODUCTION</w:t>
                      </w:r>
                    </w:p>
                  </w:txbxContent>
                </v:textbox>
                <w10:wrap anchorx="margin"/>
              </v:shape>
            </w:pict>
          </mc:Fallback>
        </mc:AlternateContent>
      </w:r>
      <w:r>
        <w:rPr>
          <w:noProof/>
        </w:rPr>
        <mc:AlternateContent>
          <mc:Choice Requires="wps">
            <w:drawing>
              <wp:anchor distT="0" distB="0" distL="114300" distR="114300" simplePos="0" relativeHeight="251687936" behindDoc="0" locked="0" layoutInCell="1" allowOverlap="1" wp14:anchorId="3CD2047E" wp14:editId="600327BE">
                <wp:simplePos x="0" y="0"/>
                <wp:positionH relativeFrom="column">
                  <wp:posOffset>795655</wp:posOffset>
                </wp:positionH>
                <wp:positionV relativeFrom="paragraph">
                  <wp:posOffset>2426335</wp:posOffset>
                </wp:positionV>
                <wp:extent cx="5372100" cy="3166110"/>
                <wp:effectExtent l="895350" t="0" r="19050" b="777240"/>
                <wp:wrapNone/>
                <wp:docPr id="2026986570" name="Callout: Double Bent Line with No Border 23"/>
                <wp:cNvGraphicFramePr/>
                <a:graphic xmlns:a="http://schemas.openxmlformats.org/drawingml/2006/main">
                  <a:graphicData uri="http://schemas.microsoft.com/office/word/2010/wordprocessingShape">
                    <wps:wsp>
                      <wps:cNvSpPr/>
                      <wps:spPr>
                        <a:xfrm>
                          <a:off x="0" y="0"/>
                          <a:ext cx="5372100" cy="3166110"/>
                        </a:xfrm>
                        <a:prstGeom prst="callout3">
                          <a:avLst>
                            <a:gd name="adj1" fmla="val 18750"/>
                            <a:gd name="adj2" fmla="val -2801"/>
                            <a:gd name="adj3" fmla="val 18750"/>
                            <a:gd name="adj4" fmla="val -16667"/>
                            <a:gd name="adj5" fmla="val 100000"/>
                            <a:gd name="adj6" fmla="val -16667"/>
                            <a:gd name="adj7" fmla="val 123793"/>
                            <a:gd name="adj8" fmla="val -3014"/>
                          </a:avLst>
                        </a:prstGeom>
                        <a:ln>
                          <a:headEnd type="none" w="med" len="med"/>
                          <a:tailEnd type="none" w="med" len="med"/>
                        </a:ln>
                      </wps:spPr>
                      <wps:style>
                        <a:lnRef idx="1">
                          <a:schemeClr val="dk1"/>
                        </a:lnRef>
                        <a:fillRef idx="2">
                          <a:schemeClr val="dk1"/>
                        </a:fillRef>
                        <a:effectRef idx="1">
                          <a:schemeClr val="dk1"/>
                        </a:effectRef>
                        <a:fontRef idx="minor">
                          <a:schemeClr val="dk1"/>
                        </a:fontRef>
                      </wps:style>
                      <wps:txbx>
                        <w:txbxContent>
                          <w:p w14:paraId="582F26D4" w14:textId="77777777" w:rsidR="00502BB2" w:rsidRDefault="00502BB2">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CD2047E" id="_x0000_t43" coordsize="21600,21600" o:spt="43" adj="23400,24400,25200,21600,25200,4050,23400,4050" path="m@0@1l@2@3@4@5@6@7nfem,l21600,r,21600l,21600nsxe">
                <v:stroke joinstyle="miter"/>
                <v:formulas>
                  <v:f eqn="val #0"/>
                  <v:f eqn="val #1"/>
                  <v:f eqn="val #2"/>
                  <v:f eqn="val #3"/>
                  <v:f eqn="val #4"/>
                  <v:f eqn="val #5"/>
                  <v:f eqn="val #6"/>
                  <v:f eqn="val #7"/>
                </v:formulas>
                <v:path arrowok="t" o:extrusionok="f" gradientshapeok="t" o:connecttype="custom" o:connectlocs="@0,@1;10800,0;10800,21600;0,10800;21600,10800"/>
                <v:handles>
                  <v:h position="#0,#1"/>
                  <v:h position="#2,#3"/>
                  <v:h position="#4,#5"/>
                  <v:h position="#6,#7"/>
                </v:handles>
                <o:callout v:ext="edit" type="threeSegment" on="t" textborder="f"/>
              </v:shapetype>
              <v:shape id="Callout: Double Bent Line with No Border 23" o:spid="_x0000_s1044" type="#_x0000_t43" style="position:absolute;margin-left:62.65pt;margin-top:191.05pt;width:423pt;height:249.3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Ug/tAIAAFAGAAAOAAAAZHJzL2Uyb0RvYy54bWysVVlvEzEQfkfiP1h+T/fK1SibKkopQqpo&#10;REE8O167u+AL27n49YydZLMQShEiD87Y/mbG882x05udFGjDrGu0KnF2lWLEFNVVo55K/OnjXW+M&#10;kfNEVURoxUq8Zw7fzF6/mm7NhOW61qJiFoER5SZbU+LaezNJEkdrJom70oYpuOTaSuJha5+SypIt&#10;WJciydN0mGy1rYzVlDkHp7eHSzyL9jln1D9w7phHosTwNh9XG9dVWJPZlEyeLDF1Q4/PIP/wCkka&#10;BU5bU7fEE7S2zYUp2VCrneb+imqZaM4bymIMEE2W/hLNY00Mi7EAOc60NLn/Z5a+3zyapQUatsZN&#10;HIghih23MvzD+9AukrVvyWI7jygcDopRnqXAKYW7IhsOsyzSmZzVjXX+LdMSBaHElAih176IRJHN&#10;vfORsQopIqE0SPUlw4hLAQnYEIGy8WhwSlAHk3cxvXycZsckdjBFF/OMnX4X04P3D0eXhgZdEEQL&#10;v0vQsAt6ztKoC8ryYnRdXFqCZjnH3yvSrB8wwOiRLZBOnAbqhAprzUj1RlXI7w2wqKDNMNqWWLIK&#10;I8GgK4MU69yTRvwNEtwE08m5JKLk94Id3H5gHDUVFEEWcxm7lS2ERZC3EldfY0qiFUAGFd4I0Srl&#10;f1Y6YoMaix3cKr7grUVHj1r5VlE2StsXvB7wp6gPsYaw/W61g2Ah1nFgMRytdLVfWmT1YZw4Q+8a&#10;qPB74vySWChf6AqYif4BFi40JEMfJYxqbb//7jzgoa3hFrIH86jE7tuaWMileKeg4a+zfj8MsLjp&#10;D0Y5bGz3ZtW9UWu50JAKaCh4XRQD3ouTyK2Wn2F0zoNXuCKKgm/oUW9Pm4U/zEkYvpTN5xEGQ8sQ&#10;f68eDT0lX+n52mve+FCpZ3aOGxhbIP00F7v7iDp/CGY/AAAA//8DAFBLAwQUAAYACAAAACEACo+x&#10;At4AAAALAQAADwAAAGRycy9kb3ducmV2LnhtbEyPy07DMBBF90j8gzVI7KidRDSPxqkQjy0ShQ9w&#10;YpOkjceR7TaBr2dYwfLOHN05U+9XO7GL8WF0KCHZCGAGO6dH7CV8vL/cFcBCVKjV5NBI+DIB9s31&#10;Va0q7RZ8M5dD7BmVYKiUhCHGueI8dIOxKmzcbJB2n85bFSn6nmuvFiq3E0+F2HKrRqQLg5rN42C6&#10;0+FsJQhfZpGXk26Xb/F6PD1tl+dcSXl7sz7sgEWzxj8YfvVJHRpyat0ZdWAT5fQ+I1RCVqQJMCLK&#10;PKFJK6EoRA68qfn/H5ofAAAA//8DAFBLAQItABQABgAIAAAAIQC2gziS/gAAAOEBAAATAAAAAAAA&#10;AAAAAAAAAAAAAABbQ29udGVudF9UeXBlc10ueG1sUEsBAi0AFAAGAAgAAAAhADj9If/WAAAAlAEA&#10;AAsAAAAAAAAAAAAAAAAALwEAAF9yZWxzLy5yZWxzUEsBAi0AFAAGAAgAAAAhAM0ZSD+0AgAAUAYA&#10;AA4AAAAAAAAAAAAAAAAALgIAAGRycy9lMm9Eb2MueG1sUEsBAi0AFAAGAAgAAAAhAAqPsQLeAAAA&#10;CwEAAA8AAAAAAAAAAAAAAAAADgUAAGRycy9kb3ducmV2LnhtbFBLBQYAAAAABAAEAPMAAAAZBgAA&#10;AAA=&#10;" adj="-651,26739,-3600,,-3600,,-605" fillcolor="#555 [2160]" strokecolor="black [3200]" strokeweight=".5pt">
                <v:fill color2="#313131 [2608]" rotate="t" colors="0 #9b9b9b;.5 #8e8e8e;1 #797979" focus="100%" type="gradient">
                  <o:fill v:ext="view" type="gradientUnscaled"/>
                </v:fill>
                <v:textbox>
                  <w:txbxContent>
                    <w:p w14:paraId="582F26D4" w14:textId="77777777" w:rsidR="00502BB2" w:rsidRDefault="00502BB2">
                      <w:pPr>
                        <w:jc w:val="center"/>
                      </w:pPr>
                    </w:p>
                  </w:txbxContent>
                </v:textbox>
                <o:callout v:ext="edit" minusx="t" minusy="t"/>
              </v:shape>
            </w:pict>
          </mc:Fallback>
        </mc:AlternateContent>
      </w:r>
    </w:p>
    <w:p w14:paraId="1E7C2CFA" w14:textId="77777777" w:rsidR="00502BB2" w:rsidRDefault="00502BB2">
      <w:pPr>
        <w:pStyle w:val="TOC3"/>
        <w:ind w:left="446"/>
        <w:rPr>
          <w:lang w:val="fr-FR"/>
        </w:rPr>
      </w:pPr>
    </w:p>
    <w:p w14:paraId="1CD627CC" w14:textId="77777777" w:rsidR="00502BB2" w:rsidRDefault="0069123E">
      <w:pPr>
        <w:tabs>
          <w:tab w:val="left" w:pos="6760"/>
        </w:tabs>
      </w:pPr>
      <w:r>
        <w:tab/>
      </w:r>
    </w:p>
    <w:p w14:paraId="5EC180B1" w14:textId="77777777" w:rsidR="00502BB2" w:rsidRDefault="00502BB2"/>
    <w:p w14:paraId="4073005C" w14:textId="77777777" w:rsidR="00502BB2" w:rsidRDefault="00502BB2"/>
    <w:p w14:paraId="16E19F25" w14:textId="77777777" w:rsidR="00502BB2" w:rsidRDefault="00502BB2"/>
    <w:p w14:paraId="68A2FA1F" w14:textId="77777777" w:rsidR="00502BB2" w:rsidRDefault="00502BB2"/>
    <w:p w14:paraId="4F62737E" w14:textId="77777777" w:rsidR="00502BB2" w:rsidRDefault="00502BB2"/>
    <w:p w14:paraId="0EF588C3" w14:textId="77777777" w:rsidR="00502BB2" w:rsidRDefault="00502BB2"/>
    <w:p w14:paraId="7C8C4819" w14:textId="77777777" w:rsidR="00502BB2" w:rsidRDefault="00502BB2"/>
    <w:p w14:paraId="2CB6EE2E" w14:textId="77777777" w:rsidR="00502BB2" w:rsidRDefault="00502BB2"/>
    <w:p w14:paraId="00DC215F" w14:textId="77777777" w:rsidR="00502BB2" w:rsidRDefault="00502BB2"/>
    <w:p w14:paraId="17F8F801" w14:textId="77777777" w:rsidR="00502BB2" w:rsidRDefault="00502BB2"/>
    <w:p w14:paraId="454F0493" w14:textId="77777777" w:rsidR="00502BB2" w:rsidRDefault="00502BB2"/>
    <w:p w14:paraId="036F41F4" w14:textId="77777777" w:rsidR="00502BB2" w:rsidRDefault="00502BB2"/>
    <w:p w14:paraId="5E41CE75" w14:textId="77777777" w:rsidR="00502BB2" w:rsidRDefault="00502BB2"/>
    <w:p w14:paraId="1D9A4DC6" w14:textId="77777777" w:rsidR="00502BB2" w:rsidRDefault="00502BB2"/>
    <w:p w14:paraId="43A674A7" w14:textId="77777777" w:rsidR="00502BB2" w:rsidRDefault="00502BB2"/>
    <w:p w14:paraId="63D60EB2" w14:textId="77777777" w:rsidR="00502BB2" w:rsidRDefault="00502BB2"/>
    <w:p w14:paraId="25FEAF50" w14:textId="77777777" w:rsidR="00502BB2" w:rsidRDefault="00502BB2"/>
    <w:p w14:paraId="36985213" w14:textId="77777777" w:rsidR="00502BB2" w:rsidRDefault="00502BB2"/>
    <w:p w14:paraId="0C917DB8" w14:textId="77777777" w:rsidR="00502BB2" w:rsidRDefault="00502BB2"/>
    <w:p w14:paraId="4490B504" w14:textId="77777777" w:rsidR="00502BB2" w:rsidRDefault="00502BB2"/>
    <w:p w14:paraId="7E7D24A1" w14:textId="77777777" w:rsidR="00502BB2" w:rsidRDefault="00502BB2"/>
    <w:p w14:paraId="21F32DF3" w14:textId="77777777" w:rsidR="00502BB2" w:rsidRDefault="00502BB2"/>
    <w:p w14:paraId="093687B1" w14:textId="77777777" w:rsidR="00502BB2" w:rsidRDefault="00502BB2"/>
    <w:p w14:paraId="0C003E90" w14:textId="77777777" w:rsidR="00502BB2" w:rsidRDefault="00502BB2">
      <w:pPr>
        <w:tabs>
          <w:tab w:val="left" w:pos="3402"/>
        </w:tabs>
        <w:sectPr w:rsidR="00502BB2">
          <w:pgSz w:w="12240" w:h="15840"/>
          <w:pgMar w:top="1417" w:right="1417" w:bottom="1417" w:left="1417" w:header="720" w:footer="720" w:gutter="0"/>
          <w:cols w:space="720"/>
        </w:sectPr>
      </w:pPr>
    </w:p>
    <w:p w14:paraId="006CC2B4" w14:textId="77777777" w:rsidR="00502BB2" w:rsidRDefault="00502BB2">
      <w:pPr>
        <w:tabs>
          <w:tab w:val="left" w:pos="3402"/>
        </w:tabs>
        <w:jc w:val="both"/>
        <w:rPr>
          <w:rFonts w:ascii="Cambria" w:hAnsi="Cambria"/>
          <w:sz w:val="24"/>
          <w:szCs w:val="24"/>
        </w:rPr>
      </w:pPr>
    </w:p>
    <w:p w14:paraId="67762331" w14:textId="77777777" w:rsidR="00502BB2" w:rsidRDefault="0069123E">
      <w:pPr>
        <w:pStyle w:val="Heading1"/>
        <w:rPr>
          <w:rFonts w:ascii="Segoe Print" w:hAnsi="Segoe Print"/>
          <w:b/>
          <w:bCs/>
          <w:color w:val="0D0D0D" w:themeColor="text1" w:themeTint="F2"/>
          <w:sz w:val="42"/>
          <w:szCs w:val="42"/>
        </w:rPr>
      </w:pPr>
      <w:bookmarkStart w:id="7" w:name="_Toc226577315"/>
      <w:r>
        <w:rPr>
          <w:rFonts w:ascii="Segoe Print" w:hAnsi="Segoe Print"/>
          <w:b/>
          <w:bCs/>
          <w:color w:val="0D0D0D" w:themeColor="text1" w:themeTint="F2"/>
          <w:sz w:val="42"/>
          <w:szCs w:val="42"/>
        </w:rPr>
        <w:t>Introduction</w:t>
      </w:r>
      <w:bookmarkEnd w:id="7"/>
    </w:p>
    <w:p w14:paraId="3A310AA9" w14:textId="77777777" w:rsidR="00502BB2" w:rsidRDefault="0069123E">
      <w:pPr>
        <w:pStyle w:val="NormalWeb"/>
        <w:spacing w:line="360" w:lineRule="auto"/>
        <w:ind w:firstLine="360"/>
        <w:jc w:val="both"/>
        <w:rPr>
          <w:rFonts w:asciiTheme="minorBidi" w:eastAsiaTheme="minorHAnsi" w:hAnsiTheme="minorBidi" w:cstheme="minorBidi"/>
          <w:kern w:val="2"/>
          <w:lang w:eastAsia="en-US"/>
          <w14:ligatures w14:val="standardContextual"/>
        </w:rPr>
      </w:pPr>
      <w:r>
        <w:rPr>
          <w:rFonts w:asciiTheme="minorBidi" w:hAnsiTheme="minorBidi"/>
        </w:rPr>
        <w:t>Le diabète sucré est une maladie métabolique fréquente constituant un problème majeur de santé publique à l’échelle mondiale. Il se caractérise par une hyperglycémie chronique résultant d’un défaut de sécrétion et/ou d’action de l’insuline. Cette pathologie est associée à de nombreuses complications aiguës et chroniques, parmi lesquelles l’acidocétose diabétique (DKA) représente l’une des urgences métaboliques les plus graves. Le DKA survient principalement chez les patients atteints de diabète de type 1, m</w:t>
      </w:r>
      <w:r>
        <w:rPr>
          <w:rFonts w:asciiTheme="minorBidi" w:hAnsiTheme="minorBidi"/>
        </w:rPr>
        <w:t>ais peut également être observé chez certains patients atteints de diabète de type 2 soumis à un stress métabolique important. Il constitue une complication fréquemment rencontrée en milieu hospitalier et reste associé à une morbidité et une mortalité non négligeable, en particulier dans les formes compliquées de coma.</w:t>
      </w:r>
      <w:r>
        <w:rPr>
          <w:rFonts w:asciiTheme="minorBidi" w:hAnsiTheme="minorBidi"/>
          <w:b/>
          <w:bCs/>
        </w:rPr>
        <w:t xml:space="preserve"> </w:t>
      </w:r>
      <w:sdt>
        <w:sdtPr>
          <w:rPr>
            <w:rFonts w:asciiTheme="minorBidi" w:eastAsiaTheme="minorHAnsi" w:hAnsiTheme="minorBidi" w:cstheme="minorBidi"/>
            <w:b/>
            <w:bCs/>
            <w:kern w:val="2"/>
            <w:lang w:eastAsia="en-US"/>
            <w14:ligatures w14:val="standardContextual"/>
          </w:rPr>
          <w:id w:val="-1891257133"/>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Ump24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(Umpierrez GE, 2024)</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w:t>
      </w:r>
      <w:sdt>
        <w:sdtPr>
          <w:rPr>
            <w:rFonts w:asciiTheme="minorBidi" w:eastAsiaTheme="minorHAnsi" w:hAnsiTheme="minorBidi" w:cstheme="minorBidi"/>
            <w:b/>
            <w:bCs/>
            <w:kern w:val="2"/>
            <w:lang w:eastAsia="en-US"/>
            <w14:ligatures w14:val="standardContextual"/>
          </w:rPr>
          <w:id w:val="1523119361"/>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Dai26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(Daina MD, 2026)</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w:t>
      </w:r>
    </w:p>
    <w:p w14:paraId="0672BE01" w14:textId="77777777" w:rsidR="00502BB2" w:rsidRDefault="0069123E">
      <w:pPr>
        <w:tabs>
          <w:tab w:val="left" w:pos="3402"/>
        </w:tabs>
        <w:spacing w:before="120" w:after="120" w:line="360" w:lineRule="auto"/>
        <w:ind w:firstLine="454"/>
        <w:jc w:val="both"/>
        <w:rPr>
          <w:rFonts w:asciiTheme="minorBidi" w:hAnsiTheme="minorBidi"/>
          <w:sz w:val="24"/>
          <w:szCs w:val="24"/>
        </w:rPr>
      </w:pPr>
      <w:r>
        <w:rPr>
          <w:rFonts w:asciiTheme="minorBidi" w:hAnsiTheme="minorBidi"/>
          <w:sz w:val="24"/>
          <w:szCs w:val="24"/>
        </w:rPr>
        <w:t>La physiopathologie du DKA résulte d’un déficit absolu ou relatif en insuline associé à une augmentation des hormones de contre-régulation, notamment le glucagon, le cortisol, les catécholamines et l’hormone de croissance. Cette situation entraîne une augmentation de la production hépatique de glucose, une stimulation de la lipolyse et une production excessive de corps cétoniques, principalement le β-hydroxybutyrate et l’acétoacétate. L’accumulation de ces acides organiques conduit à une acidose métabolique</w:t>
      </w:r>
      <w:r>
        <w:rPr>
          <w:rFonts w:asciiTheme="minorBidi" w:hAnsiTheme="minorBidi"/>
          <w:sz w:val="24"/>
          <w:szCs w:val="24"/>
        </w:rPr>
        <w:t xml:space="preserve"> à trou anionique élevé, associée à des déséquilibres hydroélectrolytiques et osmotiques importants, susceptibles d’altérer le fonctionnement des organes vitaux, notamment du système nerveux central. </w:t>
      </w:r>
      <w:sdt>
        <w:sdtPr>
          <w:rPr>
            <w:rFonts w:asciiTheme="minorBidi" w:hAnsiTheme="minorBidi"/>
            <w:sz w:val="24"/>
            <w:szCs w:val="24"/>
          </w:rPr>
          <w:id w:val="76642100"/>
        </w:sdtPr>
        <w:sdtEndPr>
          <w:rPr>
            <w:b/>
            <w:bCs/>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(Elendu,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163591510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(Umpierrez GE, 2024)</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125563622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Dai26 \l 1036 </w:instrText>
          </w:r>
          <w:r>
            <w:rPr>
              <w:rFonts w:asciiTheme="minorBidi" w:hAnsiTheme="minorBidi"/>
              <w:b/>
              <w:bCs/>
              <w:sz w:val="24"/>
              <w:szCs w:val="24"/>
            </w:rPr>
            <w:fldChar w:fldCharType="separate"/>
          </w:r>
          <w:r>
            <w:rPr>
              <w:rFonts w:asciiTheme="minorBidi" w:hAnsiTheme="minorBidi"/>
              <w:b/>
              <w:bCs/>
              <w:sz w:val="24"/>
              <w:szCs w:val="24"/>
            </w:rPr>
            <w:t xml:space="preserve"> (Daina MD, 2026)</w:t>
          </w:r>
          <w:r>
            <w:rPr>
              <w:rFonts w:asciiTheme="minorBidi" w:hAnsiTheme="minorBidi"/>
              <w:b/>
              <w:bCs/>
              <w:sz w:val="24"/>
              <w:szCs w:val="24"/>
            </w:rPr>
            <w:fldChar w:fldCharType="end"/>
          </w:r>
        </w:sdtContent>
      </w:sdt>
    </w:p>
    <w:p w14:paraId="7AEFE036" w14:textId="77777777" w:rsidR="00502BB2" w:rsidRDefault="0069123E">
      <w:pPr>
        <w:tabs>
          <w:tab w:val="left" w:pos="3402"/>
        </w:tabs>
        <w:spacing w:before="120" w:after="120" w:line="360" w:lineRule="auto"/>
        <w:ind w:firstLine="454"/>
        <w:jc w:val="both"/>
        <w:rPr>
          <w:rFonts w:asciiTheme="minorBidi" w:hAnsiTheme="minorBidi"/>
          <w:sz w:val="24"/>
          <w:szCs w:val="24"/>
        </w:rPr>
      </w:pPr>
      <w:r>
        <w:rPr>
          <w:rFonts w:asciiTheme="minorBidi" w:hAnsiTheme="minorBidi"/>
          <w:sz w:val="24"/>
          <w:szCs w:val="24"/>
        </w:rPr>
        <w:t xml:space="preserve">L’évolution du DKA peut entraîner une altération de l’état de conscience pouvant aller jusqu’au coma diabétique, qui constitue la forme la plus sévère de cette décompensation métabolique. Plusieurs mécanismes physiopathologiques contribuent à cette atteinte neurologique, notamment l’acidose métabolique sévère, l’hyperosmolarité plasmatique, </w:t>
      </w:r>
      <w:r>
        <w:rPr>
          <w:rFonts w:asciiTheme="minorBidi" w:hAnsiTheme="minorBidi"/>
          <w:sz w:val="24"/>
          <w:szCs w:val="24"/>
        </w:rPr>
        <w:lastRenderedPageBreak/>
        <w:t>la déshydratation intracellulaire cérébrale, l’hypoperfusion cérébrale ainsi que les déséquilibres électrolytiques. Toutefois, les mécanismes précis responsables de l’altération de la conscience restent encore partiellement élucidés. L’identification précoce de marqueurs biologiques associés à la gravité de l’acidocétose diabétique représente donc un élément essentiel pour améliorer la prise en charge thérapeutique et prévenir l’évolution vers le coma.</w:t>
      </w:r>
      <w:r>
        <w:rPr>
          <w:rFonts w:asciiTheme="minorBidi" w:hAnsiTheme="minorBidi"/>
          <w:b/>
          <w:bCs/>
          <w:sz w:val="24"/>
          <w:szCs w:val="24"/>
        </w:rPr>
        <w:t xml:space="preserve"> </w:t>
      </w:r>
      <w:sdt>
        <w:sdtPr>
          <w:rPr>
            <w:rFonts w:asciiTheme="minorBidi" w:hAnsiTheme="minorBidi"/>
            <w:b/>
            <w:bCs/>
            <w:sz w:val="24"/>
            <w:szCs w:val="24"/>
          </w:rPr>
          <w:id w:val="-126345175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Dub23 \l 1036 </w:instrText>
          </w:r>
          <w:r>
            <w:rPr>
              <w:rFonts w:asciiTheme="minorBidi" w:hAnsiTheme="minorBidi"/>
              <w:b/>
              <w:bCs/>
              <w:sz w:val="24"/>
              <w:szCs w:val="24"/>
            </w:rPr>
            <w:fldChar w:fldCharType="separate"/>
          </w:r>
          <w:r>
            <w:rPr>
              <w:rFonts w:asciiTheme="minorBidi" w:hAnsiTheme="minorBidi"/>
              <w:b/>
              <w:bCs/>
              <w:sz w:val="24"/>
              <w:szCs w:val="24"/>
            </w:rPr>
            <w:t>(Dubey, 2023)</w:t>
          </w:r>
          <w:r>
            <w:rPr>
              <w:rFonts w:asciiTheme="minorBidi" w:hAnsiTheme="minorBidi"/>
              <w:b/>
              <w:bCs/>
              <w:sz w:val="24"/>
              <w:szCs w:val="24"/>
            </w:rPr>
            <w:fldChar w:fldCharType="end"/>
          </w:r>
        </w:sdtContent>
      </w:sdt>
    </w:p>
    <w:p w14:paraId="5F796C21" w14:textId="77777777" w:rsidR="00502BB2" w:rsidRDefault="0069123E">
      <w:pPr>
        <w:tabs>
          <w:tab w:val="left" w:pos="3402"/>
        </w:tabs>
        <w:spacing w:before="120" w:after="120" w:line="360" w:lineRule="auto"/>
        <w:ind w:firstLine="454"/>
        <w:jc w:val="both"/>
        <w:rPr>
          <w:rFonts w:asciiTheme="minorBidi" w:hAnsiTheme="minorBidi"/>
          <w:sz w:val="24"/>
          <w:szCs w:val="24"/>
        </w:rPr>
      </w:pPr>
      <w:r>
        <w:rPr>
          <w:rFonts w:asciiTheme="minorBidi" w:hAnsiTheme="minorBidi"/>
          <w:sz w:val="24"/>
          <w:szCs w:val="24"/>
        </w:rPr>
        <w:t>Dans ce contexte, plusieurs paramètres biologiques, tels que la glycémie, le lactate, l’osmolarité plasmatique, le trou anionique, ainsi que les marqueurs rénaux et électrolytiques, ont été proposés comme indicateurs potentiels de gravité. Leur analyse combinée pourrait permettre une meilleure compréhension des mécanismes physiopathologiques impliqués et contribuer à une prise en charge plus adaptée des patients.</w:t>
      </w:r>
    </w:p>
    <w:p w14:paraId="50361936" w14:textId="77777777" w:rsidR="00502BB2" w:rsidRDefault="0069123E">
      <w:pPr>
        <w:tabs>
          <w:tab w:val="left" w:pos="3402"/>
        </w:tabs>
        <w:spacing w:before="120" w:after="120" w:line="360" w:lineRule="auto"/>
        <w:ind w:firstLine="454"/>
        <w:jc w:val="both"/>
        <w:rPr>
          <w:rFonts w:asciiTheme="minorBidi" w:hAnsiTheme="minorBidi"/>
          <w:sz w:val="24"/>
          <w:szCs w:val="24"/>
        </w:rPr>
      </w:pPr>
      <w:r>
        <w:rPr>
          <w:rFonts w:asciiTheme="minorBidi" w:hAnsiTheme="minorBidi"/>
          <w:sz w:val="24"/>
          <w:szCs w:val="24"/>
        </w:rPr>
        <w:t>Le présent travail vise à analyser et comparer les profils métaboliques et biochimiques de patients atteints de cétose et d’acidocétose diabétique hospitalisés au niveau du CHU de Tlemcen, notamment entre les patients admis en service de médecine interne et ceux pris en charge en réanimation. L’objectif principal est d’identifier les marqueurs biologiques associés à la survenue du coma et d’évaluer leur intérêt dans la prédiction de la gravité de l’acidocétose diabétique.</w:t>
      </w:r>
    </w:p>
    <w:p w14:paraId="467203AF" w14:textId="77777777" w:rsidR="00502BB2" w:rsidRDefault="00502BB2">
      <w:pPr>
        <w:tabs>
          <w:tab w:val="left" w:pos="3402"/>
        </w:tabs>
      </w:pPr>
    </w:p>
    <w:p w14:paraId="1F042CF7" w14:textId="77777777" w:rsidR="00502BB2" w:rsidRDefault="00502BB2">
      <w:pPr>
        <w:tabs>
          <w:tab w:val="left" w:pos="3402"/>
        </w:tabs>
        <w:sectPr w:rsidR="00502BB2">
          <w:headerReference w:type="default" r:id="rId19"/>
          <w:footerReference w:type="default" r:id="rId20"/>
          <w:pgSz w:w="12240" w:h="15840"/>
          <w:pgMar w:top="1417" w:right="1417" w:bottom="1417" w:left="1417" w:header="720" w:footer="720" w:gutter="0"/>
          <w:pgNumType w:start="1"/>
          <w:cols w:space="720"/>
        </w:sectPr>
      </w:pPr>
    </w:p>
    <w:p w14:paraId="7E3DB1C7" w14:textId="77777777" w:rsidR="00502BB2" w:rsidRDefault="00502BB2"/>
    <w:p w14:paraId="56B75665" w14:textId="77777777" w:rsidR="00DC455F" w:rsidRDefault="00DC455F" w:rsidP="00DC455F"/>
    <w:p w14:paraId="661D73B4" w14:textId="77777777" w:rsidR="005A0A7F" w:rsidRDefault="005A0A7F" w:rsidP="00DC455F"/>
    <w:p w14:paraId="1E18AABD" w14:textId="77777777" w:rsidR="005A0A7F" w:rsidRDefault="005A0A7F" w:rsidP="00DC455F"/>
    <w:p w14:paraId="41688296" w14:textId="77777777" w:rsidR="005A0A7F" w:rsidRDefault="005A0A7F" w:rsidP="00DC455F"/>
    <w:p w14:paraId="3829D0A3" w14:textId="77777777" w:rsidR="005A0A7F" w:rsidRDefault="005A0A7F" w:rsidP="00DC455F"/>
    <w:p w14:paraId="3951C07B" w14:textId="77777777" w:rsidR="00DC455F" w:rsidRDefault="00DC455F" w:rsidP="00DC455F"/>
    <w:p w14:paraId="0F0F624A" w14:textId="527A4FBC" w:rsidR="00DC455F" w:rsidRDefault="0069123E" w:rsidP="00DC455F">
      <w:pPr>
        <w:sectPr w:rsidR="00DC455F">
          <w:headerReference w:type="default" r:id="rId21"/>
          <w:footerReference w:type="default" r:id="rId22"/>
          <w:pgSz w:w="12240" w:h="15840"/>
          <w:pgMar w:top="1417" w:right="1417" w:bottom="1417" w:left="1417" w:header="720" w:footer="720" w:gutter="0"/>
          <w:cols w:space="720"/>
        </w:sectPr>
      </w:pPr>
      <w:r>
        <w:rPr>
          <w:noProof/>
        </w:rPr>
        <mc:AlternateContent>
          <mc:Choice Requires="wps">
            <w:drawing>
              <wp:anchor distT="0" distB="0" distL="114300" distR="114300" simplePos="0" relativeHeight="251689984" behindDoc="0" locked="0" layoutInCell="1" allowOverlap="1" wp14:anchorId="74189949" wp14:editId="6EBD699F">
                <wp:simplePos x="0" y="0"/>
                <wp:positionH relativeFrom="margin">
                  <wp:align>right</wp:align>
                </wp:positionH>
                <wp:positionV relativeFrom="paragraph">
                  <wp:posOffset>157480</wp:posOffset>
                </wp:positionV>
                <wp:extent cx="5372100" cy="3166110"/>
                <wp:effectExtent l="895350" t="0" r="19050" b="777240"/>
                <wp:wrapNone/>
                <wp:docPr id="500788317" name="Callout: Double Bent Line with No Border 23"/>
                <wp:cNvGraphicFramePr/>
                <a:graphic xmlns:a="http://schemas.openxmlformats.org/drawingml/2006/main">
                  <a:graphicData uri="http://schemas.microsoft.com/office/word/2010/wordprocessingShape">
                    <wps:wsp>
                      <wps:cNvSpPr/>
                      <wps:spPr>
                        <a:xfrm>
                          <a:off x="0" y="0"/>
                          <a:ext cx="5372100" cy="3166110"/>
                        </a:xfrm>
                        <a:prstGeom prst="callout3">
                          <a:avLst>
                            <a:gd name="adj1" fmla="val 18750"/>
                            <a:gd name="adj2" fmla="val -2801"/>
                            <a:gd name="adj3" fmla="val 18750"/>
                            <a:gd name="adj4" fmla="val -16667"/>
                            <a:gd name="adj5" fmla="val 100000"/>
                            <a:gd name="adj6" fmla="val -16667"/>
                            <a:gd name="adj7" fmla="val 123793"/>
                            <a:gd name="adj8" fmla="val -3014"/>
                          </a:avLst>
                        </a:prstGeom>
                        <a:ln>
                          <a:headEnd type="none" w="med" len="med"/>
                          <a:tailEnd type="none" w="med" len="med"/>
                        </a:ln>
                      </wps:spPr>
                      <wps:style>
                        <a:lnRef idx="1">
                          <a:schemeClr val="dk1"/>
                        </a:lnRef>
                        <a:fillRef idx="2">
                          <a:schemeClr val="dk1"/>
                        </a:fillRef>
                        <a:effectRef idx="1">
                          <a:schemeClr val="dk1"/>
                        </a:effectRef>
                        <a:fontRef idx="minor">
                          <a:schemeClr val="dk1"/>
                        </a:fontRef>
                      </wps:style>
                      <wps:txbx>
                        <w:txbxContent>
                          <w:p w14:paraId="0381B5DA" w14:textId="77777777" w:rsidR="00502BB2" w:rsidRDefault="00502BB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74189949" id="_x0000_s1045" type="#_x0000_t43" style="position:absolute;margin-left:371.8pt;margin-top:12.4pt;width:423pt;height:249.3pt;z-index:25168998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VEtQIAAFAGAAAOAAAAZHJzL2Uyb0RvYy54bWysVdtuEzEQfUfiHyy/p7vezaWNuqmiliKk&#10;ilYUxLPjtbsLvmE7N76esZNsFkIpQuTBGdtnZjxnLnt5tVESrbjzrdEVJmc5RlwzU7f6qcKfPt4O&#10;zjHygeqaSqN5hbfc46vZ61eXazvlhWmMrLlDYET76dpWuAnBTrPMs4Yr6s+M5RouhXGKBti6p6x2&#10;dA3WlcyKPB9na+Nq6wzj3sPpze4Sz5J9ITgL90J4HpCsMLwtpNWldRHXbHZJp0+O2qZl+2fQf3iF&#10;oq0Gp52pGxooWrr2xJRqmTPeiHDGjMqMEC3jKQaIhuS/RPPYUMtTLECOtx1N/v+ZZe9Xj/bBAQ1r&#10;66cexBjFRjgV/+F9aJPI2nZk8U1ADA5H5aQgOXDK4K4k4zEhic7sqG6dD2+5USgKFWZUSrMMZSKK&#10;ru58SIzVSFMFpUHrLwQjoSQkYEUlIueT0SFBPUzRxwyK85zsk9jDlH3MM3aGfcwA3j+enBoa9UEQ&#10;LfxOQeM+6DlLkz6IFOXkojy1BM1yjH9Q5mQYMcDoni2QDpxG6qSOa8Np/UbXKGwtsKihzTBaV1jx&#10;GiPJoSujlOo80Fb+DRLcRNPZsSSSFLaS79x+4AK1NRQBSblM3cqvpUOQtwrXX1NKkhVARhXRStkp&#10;FX9W2mOjGk8d3Cm+4K1DJ49Gh05Rtdq4F7zu8Ieod7HGsMNmsYFgIdaLyGI8Wph6++CQM7tx4i27&#10;baHC76gPD9RB+UJXwEwM97AIaSAZZi9h1Bj3/XfnEQ9tDbeQPZhHFfbfltRBLuU7DQ1/QYbDOMDS&#10;ZjiaFLBx/ZtF/0Yv1bWBVEBDweuSGPFBHkThjPoMo3MevcIV1Qx8Q48Gd9hch92chOHL+HyeYDC0&#10;LA13+tGyQ/K1mS+DEW2IlXpkZ7+BsQXST3Oxv0+o44dg9gMAAP//AwBQSwMEFAAGAAgAAAAhALvw&#10;R4/aAAAABwEAAA8AAABkcnMvZG93bnJldi54bWxMjstOwzAQRfdI/IM1SOyoTRpCG+JUiMcWicIH&#10;TOIhCfUjit0m8PUMK1jOvVdnTrVbnBUnmuIQvIbrlQJBvg1m8J2G97fnqw2ImNAbtMGThi+KsKvP&#10;zyosTZj9K532qRMM8bFEDX1KYyllbHtyGFdhJM/dR5gcJj6nTpoJZ4Y7KzOlCulw8Pyhx5EeemoP&#10;+6PToKbtOsmtNc38rV4+D4/F/HSLWl9eLPd3IBIt6W8Mv/qsDjU7NeHoTRSWGbzTkOXsz+0mLzho&#10;NNxk6xxkXcn//vUPAAAA//8DAFBLAQItABQABgAIAAAAIQC2gziS/gAAAOEBAAATAAAAAAAAAAAA&#10;AAAAAAAAAABbQ29udGVudF9UeXBlc10ueG1sUEsBAi0AFAAGAAgAAAAhADj9If/WAAAAlAEAAAsA&#10;AAAAAAAAAAAAAAAALwEAAF9yZWxzLy5yZWxzUEsBAi0AFAAGAAgAAAAhAMRn5US1AgAAUAYAAA4A&#10;AAAAAAAAAAAAAAAALgIAAGRycy9lMm9Eb2MueG1sUEsBAi0AFAAGAAgAAAAhALvwR4/aAAAABwEA&#10;AA8AAAAAAAAAAAAAAAAADwUAAGRycy9kb3ducmV2LnhtbFBLBQYAAAAABAAEAPMAAAAWBgAAAAA=&#10;" adj="-651,26739,-3600,,-3600,,-605" fillcolor="#555 [2160]" strokecolor="black [3200]" strokeweight=".5pt">
                <v:fill color2="#313131 [2608]" rotate="t" colors="0 #9b9b9b;.5 #8e8e8e;1 #797979" focus="100%" type="gradient">
                  <o:fill v:ext="view" type="gradientUnscaled"/>
                </v:fill>
                <v:textbox>
                  <w:txbxContent>
                    <w:p w14:paraId="0381B5DA" w14:textId="77777777" w:rsidR="00502BB2" w:rsidRDefault="00502BB2"/>
                  </w:txbxContent>
                </v:textbox>
                <o:callout v:ext="edit" minusx="t" minusy="t"/>
                <w10:wrap anchorx="margin"/>
              </v:shape>
            </w:pict>
          </mc:Fallback>
        </mc:AlternateContent>
      </w:r>
      <w:r>
        <w:rPr>
          <w:noProof/>
        </w:rPr>
        <mc:AlternateContent>
          <mc:Choice Requires="wps">
            <w:drawing>
              <wp:anchor distT="0" distB="0" distL="114300" distR="114300" simplePos="0" relativeHeight="251691008" behindDoc="0" locked="0" layoutInCell="1" allowOverlap="1" wp14:anchorId="7389EC60" wp14:editId="0D3E0335">
                <wp:simplePos x="0" y="0"/>
                <wp:positionH relativeFrom="margin">
                  <wp:posOffset>-151130</wp:posOffset>
                </wp:positionH>
                <wp:positionV relativeFrom="paragraph">
                  <wp:posOffset>177165</wp:posOffset>
                </wp:positionV>
                <wp:extent cx="6781800" cy="3520440"/>
                <wp:effectExtent l="0" t="0" r="0" b="3810"/>
                <wp:wrapNone/>
                <wp:docPr id="583997459" name="Text Box 1"/>
                <wp:cNvGraphicFramePr/>
                <a:graphic xmlns:a="http://schemas.openxmlformats.org/drawingml/2006/main">
                  <a:graphicData uri="http://schemas.microsoft.com/office/word/2010/wordprocessingShape">
                    <wps:wsp>
                      <wps:cNvSpPr txBox="1"/>
                      <wps:spPr>
                        <a:xfrm>
                          <a:off x="0" y="0"/>
                          <a:ext cx="6781800" cy="35204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2D4B4C3"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Partie1. Synthèse bibliographique </w:t>
                            </w:r>
                          </w:p>
                          <w:p w14:paraId="75278091" w14:textId="77777777" w:rsidR="00502BB2" w:rsidRDefault="00502BB2">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389EC60" id="_x0000_s1046" type="#_x0000_t202" style="position:absolute;margin-left:-11.9pt;margin-top:13.95pt;width:534pt;height:277.2pt;z-index:25169100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PXUAIAAP4EAAAOAAAAZHJzL2Uyb0RvYy54bWysVEtvGyEQvlfqf0Dc6127TuJaXkeuI1eV&#10;rCaqW/WMWfCiAkMBe9f99Rnws49Lql5gmPd8M8PkvjOa7IQPCmxF+72SEmE51MpuKvr1y+LNiJIQ&#10;ma2ZBisquheB3k9fv5q0biwG0ICuhSfoxIZx6yraxOjGRRF4IwwLPXDColCCNyzi02+K2rMWvRtd&#10;DMrytmjB184DFyEg9+EgpNPsX0rB46OUQUSiK4q5xXz6fK7TWUwnbLzxzDWKH9Ng/5CFYcpi0LOr&#10;BxYZ2Xr1hyujuIcAMvY4mAKkVFzkGrCafvlbNauGOZFrQXCCO8MU/p9b/mm3ck+exO49dNjABEjr&#10;wjggM9XTSW/SjZkSlCOE+zNsoouEI/P2btQflSjiKHt7MyiHwwxscTF3PsQPAgxJREU99iXDxXbL&#10;EDEkqp5UUjQLC6V17o22vzBQMXGKS46Zinstkp62n4Ukqs6pJkbgfrOea08OPcehxDxPnc/O0CAp&#10;Sgz4QtujSbIWedReaH82yvHBxrO9URZ8BigvgkgF7BiOcP09dwgTlwf9ExQHABIWsVt3iEBFB7kJ&#10;ibWGeo899nAY/+D4QmEflizEJ+Zx3hET3OH4iIfU0FYUjhQlDfiff+MnfRxDlFLS4v5UNPzYMi8o&#10;0R8tDui7fpoCEvNjeHOH2RB/LVlfS+zWzAHr6+Nv4Xgmk37UJ1J6MN9w1WcpKoqY5Ri7ovFEzuOh&#10;w/hVcDGbZSVcMcfi0q4cT64TzBZm2whS5aG7YHOEEZcsz+LxQ0hbfP3OWpdva/oMAAD//wMAUEsD&#10;BBQABgAIAAAAIQAIwc1t3wAAAAsBAAAPAAAAZHJzL2Rvd25yZXYueG1sTI/NTsMwEITvSLyDtUjc&#10;Whs3hTZkUyEQV1DLj8TNjbdJRLyOYrcJb497guNoRjPfFJvJdeJEQ2g9I9zMFQjiytuWa4T3t+fZ&#10;CkSIhq3pPBPCDwXYlJcXhcmtH3lLp12sRSrhkBuEJsY+lzJUDTkT5r4nTt7BD87EJIda2sGMqdx1&#10;Uit1K51pOS00pqfHhqrv3dEhfLwcvj4z9Vo/uWU/+klJdmuJeH01PdyDiDTFvzCc8RM6lIlp749s&#10;g+gQZnqR0COCvluDOAdUlmkQe4TlSi9AloX8/6H8BQAA//8DAFBLAQItABQABgAIAAAAIQC2gziS&#10;/gAAAOEBAAATAAAAAAAAAAAAAAAAAAAAAABbQ29udGVudF9UeXBlc10ueG1sUEsBAi0AFAAGAAgA&#10;AAAhADj9If/WAAAAlAEAAAsAAAAAAAAAAAAAAAAALwEAAF9yZWxzLy5yZWxzUEsBAi0AFAAGAAgA&#10;AAAhACA+k9dQAgAA/gQAAA4AAAAAAAAAAAAAAAAALgIAAGRycy9lMm9Eb2MueG1sUEsBAi0AFAAG&#10;AAgAAAAhAAjBzW3fAAAACwEAAA8AAAAAAAAAAAAAAAAAqgQAAGRycy9kb3ducmV2LnhtbFBLBQYA&#10;AAAABAAEAPMAAAC2BQAAAAA=&#10;" filled="f" stroked="f">
                <v:textbox>
                  <w:txbxContent>
                    <w:p w14:paraId="42D4B4C3"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Partie1. Synthèse bibliographique </w:t>
                      </w:r>
                    </w:p>
                    <w:p w14:paraId="75278091" w14:textId="77777777" w:rsidR="00502BB2" w:rsidRDefault="00502BB2">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p>
                  </w:txbxContent>
                </v:textbox>
                <w10:wrap anchorx="margin"/>
              </v:shape>
            </w:pict>
          </mc:Fallback>
        </mc:AlternateContent>
      </w:r>
    </w:p>
    <w:p w14:paraId="0755CC3E" w14:textId="77777777" w:rsidR="00502BB2" w:rsidRDefault="0069123E" w:rsidP="00DC455F">
      <w:pPr>
        <w:pStyle w:val="Heading1"/>
        <w:rPr>
          <w:rFonts w:ascii="Segoe Print" w:hAnsi="Segoe Print"/>
          <w:b/>
          <w:bCs/>
          <w:color w:val="0D0D0D" w:themeColor="text1" w:themeTint="F2"/>
          <w:sz w:val="42"/>
          <w:szCs w:val="42"/>
        </w:rPr>
      </w:pPr>
      <w:bookmarkStart w:id="8" w:name="_Toc226577316"/>
      <w:r>
        <w:rPr>
          <w:rFonts w:ascii="Segoe Print" w:hAnsi="Segoe Print"/>
          <w:b/>
          <w:bCs/>
          <w:color w:val="0D0D0D" w:themeColor="text1" w:themeTint="F2"/>
          <w:sz w:val="42"/>
          <w:szCs w:val="42"/>
        </w:rPr>
        <w:lastRenderedPageBreak/>
        <w:t>Bases physiopathologiques</w:t>
      </w:r>
      <w:bookmarkEnd w:id="8"/>
    </w:p>
    <w:p w14:paraId="01890938" w14:textId="77777777" w:rsidR="00502BB2" w:rsidRDefault="0069123E">
      <w:pPr>
        <w:pStyle w:val="Heading2"/>
        <w:ind w:firstLine="708"/>
        <w:rPr>
          <w:rFonts w:asciiTheme="minorBidi" w:hAnsiTheme="minorBidi" w:cstheme="minorBidi"/>
          <w:b/>
          <w:bCs/>
          <w:color w:val="0D0D0D" w:themeColor="text1" w:themeTint="F2"/>
          <w:sz w:val="28"/>
          <w:szCs w:val="28"/>
        </w:rPr>
      </w:pPr>
      <w:bookmarkStart w:id="9" w:name="_Toc226577317"/>
      <w:r>
        <w:rPr>
          <w:rFonts w:asciiTheme="minorBidi" w:hAnsiTheme="minorBidi" w:cstheme="minorBidi"/>
          <w:b/>
          <w:bCs/>
          <w:color w:val="0D0D0D" w:themeColor="text1" w:themeTint="F2"/>
          <w:sz w:val="28"/>
          <w:szCs w:val="28"/>
        </w:rPr>
        <w:t>I.  Physiopathologie du coma diabétique</w:t>
      </w:r>
      <w:bookmarkEnd w:id="9"/>
    </w:p>
    <w:p w14:paraId="013360A5" w14:textId="77777777" w:rsidR="00502BB2" w:rsidRDefault="0069123E">
      <w:pPr>
        <w:pStyle w:val="Heading3"/>
        <w:rPr>
          <w:rFonts w:asciiTheme="minorBidi" w:hAnsiTheme="minorBidi" w:cstheme="minorBidi"/>
          <w:b/>
          <w:bCs/>
          <w:color w:val="0D0D0D" w:themeColor="text1" w:themeTint="F2"/>
          <w:sz w:val="24"/>
          <w:szCs w:val="24"/>
        </w:rPr>
      </w:pPr>
      <w:bookmarkStart w:id="10" w:name="_Toc226577318"/>
      <w:r>
        <w:rPr>
          <w:rFonts w:asciiTheme="minorBidi" w:hAnsiTheme="minorBidi" w:cstheme="minorBidi"/>
          <w:b/>
          <w:bCs/>
          <w:color w:val="0D0D0D" w:themeColor="text1" w:themeTint="F2"/>
          <w:sz w:val="24"/>
          <w:szCs w:val="24"/>
        </w:rPr>
        <w:t>1. Système de vigilance :</w:t>
      </w:r>
      <w:bookmarkEnd w:id="10"/>
    </w:p>
    <w:p w14:paraId="2B0F4F5E"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 système de de vigilance est localisé principalement au niveau de diverses structures : le tronc cérébral, le thalamus, le prosencéphale basal et le l’hypothalamus. Ces structures se trouvent en relation avec les organes sensoriels (œil, peau, oreille) et assurent la stimulation du système thalamo-cortical par l’activation de ces neurones (</w:t>
      </w:r>
      <w:r>
        <w:rPr>
          <w:rFonts w:asciiTheme="minorBidi" w:hAnsiTheme="minorBidi"/>
          <w:b/>
          <w:bCs/>
          <w:sz w:val="24"/>
          <w:szCs w:val="24"/>
        </w:rPr>
        <w:t>figure 01</w:t>
      </w:r>
      <w:r>
        <w:rPr>
          <w:rFonts w:asciiTheme="minorBidi" w:hAnsiTheme="minorBidi"/>
          <w:sz w:val="24"/>
          <w:szCs w:val="24"/>
        </w:rPr>
        <w:t xml:space="preserve">). </w:t>
      </w:r>
      <w:sdt>
        <w:sdtPr>
          <w:rPr>
            <w:rFonts w:asciiTheme="minorBidi" w:hAnsiTheme="minorBidi"/>
            <w:b/>
            <w:bCs/>
            <w:sz w:val="24"/>
            <w:szCs w:val="24"/>
          </w:rPr>
          <w:id w:val="-131224527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97263609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05649BAF" w14:textId="77777777" w:rsidR="00502BB2" w:rsidRDefault="0069123E">
      <w:pPr>
        <w:keepNext/>
        <w:spacing w:line="360" w:lineRule="auto"/>
        <w:jc w:val="center"/>
      </w:pPr>
      <w:r>
        <w:rPr>
          <w:rFonts w:asciiTheme="minorBidi" w:hAnsiTheme="minorBidi"/>
          <w:noProof/>
          <w:sz w:val="24"/>
          <w:szCs w:val="24"/>
        </w:rPr>
        <w:drawing>
          <wp:inline distT="0" distB="0" distL="0" distR="0" wp14:anchorId="1F0DC420" wp14:editId="6E29B81E">
            <wp:extent cx="4166870" cy="2395855"/>
            <wp:effectExtent l="0" t="0" r="5080" b="4445"/>
            <wp:docPr id="1296305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305039" name="Picture 1"/>
                    <pic:cNvPicPr>
                      <a:picLocks noChangeAspect="1"/>
                    </pic:cNvPicPr>
                  </pic:nvPicPr>
                  <pic:blipFill>
                    <a:blip r:embed="rId23"/>
                    <a:srcRect r="12182"/>
                    <a:stretch>
                      <a:fillRect/>
                    </a:stretch>
                  </pic:blipFill>
                  <pic:spPr>
                    <a:xfrm>
                      <a:off x="0" y="0"/>
                      <a:ext cx="4207068" cy="2418816"/>
                    </a:xfrm>
                    <a:prstGeom prst="rect">
                      <a:avLst/>
                    </a:prstGeom>
                    <a:ln>
                      <a:noFill/>
                    </a:ln>
                  </pic:spPr>
                </pic:pic>
              </a:graphicData>
            </a:graphic>
          </wp:inline>
        </w:drawing>
      </w:r>
    </w:p>
    <w:p w14:paraId="7FB53B2F" w14:textId="5920073E" w:rsidR="00502BB2" w:rsidRDefault="0069123E">
      <w:pPr>
        <w:pStyle w:val="Caption"/>
        <w:jc w:val="center"/>
        <w:rPr>
          <w:rFonts w:asciiTheme="minorBidi" w:hAnsiTheme="minorBidi"/>
          <w:sz w:val="24"/>
          <w:szCs w:val="24"/>
        </w:rPr>
      </w:pPr>
      <w:bookmarkStart w:id="11" w:name="_Toc225723005"/>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w:t>
      </w:r>
      <w:r>
        <w:rPr>
          <w:rFonts w:asciiTheme="minorBidi" w:hAnsiTheme="minorBidi"/>
          <w:b/>
          <w:bCs/>
          <w:sz w:val="24"/>
          <w:szCs w:val="24"/>
        </w:rPr>
        <w:fldChar w:fldCharType="end"/>
      </w:r>
      <w:r>
        <w:t xml:space="preserve"> : </w:t>
      </w:r>
      <w:r>
        <w:rPr>
          <w:rFonts w:asciiTheme="minorBidi" w:hAnsiTheme="minorBidi"/>
          <w:sz w:val="24"/>
          <w:szCs w:val="24"/>
        </w:rPr>
        <w:t>Figure des compartiments essentiels dans le maintien de l’éveil.</w:t>
      </w:r>
      <w:sdt>
        <w:sdtPr>
          <w:rPr>
            <w:rFonts w:asciiTheme="minorBidi" w:hAnsiTheme="minorBidi"/>
            <w:b/>
            <w:bCs/>
            <w:sz w:val="24"/>
            <w:szCs w:val="24"/>
          </w:rPr>
          <w:id w:val="-55446565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bookmarkEnd w:id="11"/>
    </w:p>
    <w:p w14:paraId="66AC81E1"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Ce système repose sur une interconnexion de faisceaux organisés en deux dimensions fonctionnelles :</w:t>
      </w:r>
    </w:p>
    <w:p w14:paraId="02FF8A74" w14:textId="77777777" w:rsidR="00502BB2" w:rsidRDefault="0069123E">
      <w:pPr>
        <w:numPr>
          <w:ilvl w:val="0"/>
          <w:numId w:val="1"/>
        </w:numPr>
        <w:spacing w:line="360" w:lineRule="auto"/>
        <w:jc w:val="both"/>
        <w:rPr>
          <w:rFonts w:asciiTheme="minorBidi" w:hAnsiTheme="minorBidi"/>
          <w:sz w:val="24"/>
          <w:szCs w:val="24"/>
        </w:rPr>
      </w:pPr>
      <w:r>
        <w:rPr>
          <w:rFonts w:asciiTheme="minorBidi" w:hAnsiTheme="minorBidi"/>
          <w:sz w:val="24"/>
          <w:szCs w:val="24"/>
        </w:rPr>
        <w:t>Une dimension thalamo-corticale impliquée dans l’éveil et l’état d’alerte (</w:t>
      </w:r>
      <w:proofErr w:type="spellStart"/>
      <w:r>
        <w:rPr>
          <w:rFonts w:asciiTheme="minorBidi" w:hAnsiTheme="minorBidi"/>
          <w:sz w:val="24"/>
          <w:szCs w:val="24"/>
        </w:rPr>
        <w:t>wakefulness</w:t>
      </w:r>
      <w:proofErr w:type="spellEnd"/>
      <w:r>
        <w:rPr>
          <w:rFonts w:asciiTheme="minorBidi" w:hAnsiTheme="minorBidi"/>
          <w:sz w:val="24"/>
          <w:szCs w:val="24"/>
        </w:rPr>
        <w:t>),</w:t>
      </w:r>
    </w:p>
    <w:p w14:paraId="206F4555" w14:textId="77777777" w:rsidR="00502BB2" w:rsidRDefault="0069123E">
      <w:pPr>
        <w:numPr>
          <w:ilvl w:val="0"/>
          <w:numId w:val="1"/>
        </w:numPr>
        <w:spacing w:line="360" w:lineRule="auto"/>
        <w:jc w:val="both"/>
        <w:rPr>
          <w:rFonts w:asciiTheme="minorBidi" w:hAnsiTheme="minorBidi"/>
          <w:sz w:val="24"/>
          <w:szCs w:val="24"/>
        </w:rPr>
      </w:pPr>
      <w:r>
        <w:rPr>
          <w:rFonts w:asciiTheme="minorBidi" w:hAnsiTheme="minorBidi"/>
          <w:sz w:val="24"/>
          <w:szCs w:val="24"/>
        </w:rPr>
        <w:t>Une dimension cortico-corticale, principalement fronto-pariétale, impliquée dans la conscience de soi et de l’environnement (</w:t>
      </w:r>
      <w:proofErr w:type="spellStart"/>
      <w:r>
        <w:rPr>
          <w:rFonts w:asciiTheme="minorBidi" w:hAnsiTheme="minorBidi"/>
          <w:sz w:val="24"/>
          <w:szCs w:val="24"/>
        </w:rPr>
        <w:t>awareness</w:t>
      </w:r>
      <w:proofErr w:type="spellEnd"/>
      <w:r>
        <w:rPr>
          <w:rFonts w:asciiTheme="minorBidi" w:hAnsiTheme="minorBidi"/>
          <w:sz w:val="24"/>
          <w:szCs w:val="24"/>
        </w:rPr>
        <w:t>) (</w:t>
      </w:r>
      <w:r>
        <w:rPr>
          <w:rFonts w:asciiTheme="minorBidi" w:hAnsiTheme="minorBidi"/>
          <w:b/>
          <w:bCs/>
          <w:sz w:val="24"/>
          <w:szCs w:val="24"/>
        </w:rPr>
        <w:t>figure 02</w:t>
      </w:r>
      <w:r>
        <w:rPr>
          <w:rFonts w:asciiTheme="minorBidi" w:hAnsiTheme="minorBidi"/>
          <w:sz w:val="24"/>
          <w:szCs w:val="24"/>
        </w:rPr>
        <w:t>).</w:t>
      </w:r>
      <w:sdt>
        <w:sdtPr>
          <w:rPr>
            <w:rFonts w:asciiTheme="minorBidi" w:hAnsiTheme="minorBidi"/>
            <w:b/>
            <w:bCs/>
            <w:sz w:val="24"/>
            <w:szCs w:val="24"/>
          </w:rPr>
          <w:id w:val="-151066887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97320707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67C38267" w14:textId="77777777" w:rsidR="00502BB2" w:rsidRDefault="0069123E">
      <w:pPr>
        <w:keepNext/>
        <w:spacing w:line="360" w:lineRule="auto"/>
        <w:ind w:left="720"/>
        <w:jc w:val="center"/>
      </w:pPr>
      <w:r>
        <w:rPr>
          <w:rFonts w:asciiTheme="minorBidi" w:hAnsiTheme="minorBidi"/>
          <w:noProof/>
          <w:sz w:val="24"/>
          <w:szCs w:val="24"/>
        </w:rPr>
        <w:lastRenderedPageBreak/>
        <w:drawing>
          <wp:inline distT="0" distB="0" distL="0" distR="0" wp14:anchorId="51895574" wp14:editId="1CA0150A">
            <wp:extent cx="4425315" cy="2492375"/>
            <wp:effectExtent l="0" t="0" r="0" b="3175"/>
            <wp:docPr id="8472040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204092" name="Picture 1"/>
                    <pic:cNvPicPr>
                      <a:picLocks noChangeAspect="1"/>
                    </pic:cNvPicPr>
                  </pic:nvPicPr>
                  <pic:blipFill>
                    <a:blip r:embed="rId24"/>
                    <a:stretch>
                      <a:fillRect/>
                    </a:stretch>
                  </pic:blipFill>
                  <pic:spPr>
                    <a:xfrm>
                      <a:off x="0" y="0"/>
                      <a:ext cx="4437009" cy="2499278"/>
                    </a:xfrm>
                    <a:prstGeom prst="rect">
                      <a:avLst/>
                    </a:prstGeom>
                  </pic:spPr>
                </pic:pic>
              </a:graphicData>
            </a:graphic>
          </wp:inline>
        </w:drawing>
      </w:r>
    </w:p>
    <w:p w14:paraId="526EA6EC" w14:textId="7FE7C1B6" w:rsidR="00502BB2" w:rsidRDefault="0069123E">
      <w:pPr>
        <w:pStyle w:val="Caption"/>
        <w:jc w:val="center"/>
        <w:rPr>
          <w:rFonts w:asciiTheme="minorBidi" w:hAnsiTheme="minorBidi"/>
          <w:sz w:val="24"/>
          <w:szCs w:val="24"/>
        </w:rPr>
      </w:pPr>
      <w:bookmarkStart w:id="12" w:name="_Toc225723006"/>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w:t>
      </w:r>
      <w:r>
        <w:rPr>
          <w:rFonts w:asciiTheme="minorBidi" w:hAnsiTheme="minorBidi"/>
          <w:b/>
          <w:bCs/>
          <w:sz w:val="24"/>
          <w:szCs w:val="24"/>
        </w:rPr>
        <w:fldChar w:fldCharType="end"/>
      </w:r>
      <w:r>
        <w:rPr>
          <w:rFonts w:asciiTheme="minorBidi" w:hAnsiTheme="minorBidi"/>
          <w:b/>
          <w:bCs/>
          <w:sz w:val="24"/>
          <w:szCs w:val="24"/>
        </w:rPr>
        <w:t xml:space="preserve"> :</w:t>
      </w:r>
      <w:r>
        <w:rPr>
          <w:rFonts w:asciiTheme="minorBidi" w:hAnsiTheme="minorBidi"/>
          <w:sz w:val="24"/>
          <w:szCs w:val="24"/>
        </w:rPr>
        <w:t xml:space="preserve"> Figure d’interconnexion des réseaux cortico-corticaux et fronto-pariétaux.</w:t>
      </w:r>
      <w:sdt>
        <w:sdtPr>
          <w:rPr>
            <w:rFonts w:asciiTheme="minorBidi" w:hAnsiTheme="minorBidi"/>
            <w:b/>
            <w:bCs/>
            <w:sz w:val="24"/>
            <w:szCs w:val="24"/>
          </w:rPr>
          <w:id w:val="-89103590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 xml:space="preserve"> (Kondziella, 2023)</w:t>
          </w:r>
          <w:r>
            <w:rPr>
              <w:rFonts w:asciiTheme="minorBidi" w:hAnsiTheme="minorBidi"/>
              <w:b/>
              <w:bCs/>
              <w:sz w:val="24"/>
              <w:szCs w:val="24"/>
            </w:rPr>
            <w:fldChar w:fldCharType="end"/>
          </w:r>
        </w:sdtContent>
      </w:sdt>
      <w:r>
        <w:rPr>
          <w:rFonts w:asciiTheme="minorBidi" w:hAnsiTheme="minorBidi"/>
          <w:b/>
          <w:bCs/>
          <w:sz w:val="24"/>
          <w:szCs w:val="24"/>
        </w:rPr>
        <w:t>.</w:t>
      </w:r>
      <w:bookmarkEnd w:id="12"/>
    </w:p>
    <w:p w14:paraId="7A068F16"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Ces réseaux interviennent dans la communication cérébrale par des mécanismes de cohérence neuronale, notamment via les neurones Gabaergiques et le phénomène de « </w:t>
      </w:r>
      <w:proofErr w:type="spellStart"/>
      <w:r>
        <w:rPr>
          <w:rFonts w:asciiTheme="minorBidi" w:hAnsiTheme="minorBidi"/>
          <w:sz w:val="24"/>
          <w:szCs w:val="24"/>
        </w:rPr>
        <w:t>gating</w:t>
      </w:r>
      <w:proofErr w:type="spellEnd"/>
      <w:r>
        <w:rPr>
          <w:rFonts w:asciiTheme="minorBidi" w:hAnsiTheme="minorBidi"/>
          <w:sz w:val="24"/>
          <w:szCs w:val="24"/>
        </w:rPr>
        <w:t xml:space="preserve"> by inhibition », permettant l’équilibre et la coordination entre activation et inhibition de l’activité cérébrale.</w:t>
      </w:r>
      <w:sdt>
        <w:sdtPr>
          <w:rPr>
            <w:rFonts w:asciiTheme="minorBidi" w:hAnsiTheme="minorBidi"/>
            <w:b/>
            <w:bCs/>
            <w:sz w:val="24"/>
            <w:szCs w:val="24"/>
          </w:rPr>
          <w:id w:val="48112949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8510573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68AC39A6" w14:textId="77777777" w:rsidR="00502BB2" w:rsidRDefault="0069123E">
      <w:pPr>
        <w:pStyle w:val="Heading3"/>
        <w:jc w:val="both"/>
        <w:rPr>
          <w:rFonts w:asciiTheme="minorBidi" w:hAnsiTheme="minorBidi" w:cstheme="minorBidi"/>
          <w:b/>
          <w:bCs/>
          <w:color w:val="0D0D0D" w:themeColor="text1" w:themeTint="F2"/>
          <w:sz w:val="24"/>
          <w:szCs w:val="24"/>
        </w:rPr>
      </w:pPr>
      <w:bookmarkStart w:id="13" w:name="_Toc226577319"/>
      <w:r>
        <w:rPr>
          <w:rFonts w:asciiTheme="minorBidi" w:hAnsiTheme="minorBidi" w:cstheme="minorBidi"/>
          <w:b/>
          <w:bCs/>
          <w:color w:val="0D0D0D" w:themeColor="text1" w:themeTint="F2"/>
          <w:sz w:val="24"/>
          <w:szCs w:val="24"/>
        </w:rPr>
        <w:t>2.  Altération de la conscience :</w:t>
      </w:r>
      <w:bookmarkEnd w:id="13"/>
    </w:p>
    <w:p w14:paraId="322C7C7B"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La conscience est l’état de vigilance qui permet l’interaction entre l’être humain et son environnement. Elle inclut les fonctions cognitives supérieures telles que la perception, le langage et la mémoire de l’individu. Une altération à ce niveau est généralement marquée par des dysfonctionnements au niveau des circuits neuronaux du type Gabaergique, entrainant un déséquilibre entre les activités lentes et rapides des oscillations cérébrales, qui perturbe l’équilibre excitation/inhibition et conduit à une a</w:t>
      </w:r>
      <w:r>
        <w:rPr>
          <w:rFonts w:asciiTheme="minorBidi" w:hAnsiTheme="minorBidi"/>
          <w:sz w:val="24"/>
          <w:szCs w:val="24"/>
        </w:rPr>
        <w:t>ctivation excessive ou désorganisée des synapses et des fibres axonales (</w:t>
      </w:r>
      <w:r>
        <w:rPr>
          <w:rFonts w:asciiTheme="minorBidi" w:hAnsiTheme="minorBidi"/>
          <w:b/>
          <w:bCs/>
          <w:sz w:val="24"/>
          <w:szCs w:val="24"/>
        </w:rPr>
        <w:t>figure 03).</w:t>
      </w:r>
      <w:sdt>
        <w:sdtPr>
          <w:rPr>
            <w:rFonts w:asciiTheme="minorBidi" w:hAnsiTheme="minorBidi"/>
            <w:b/>
            <w:bCs/>
            <w:sz w:val="24"/>
            <w:szCs w:val="24"/>
          </w:rPr>
          <w:id w:val="114831649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08573763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6FB05917"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4453E890" wp14:editId="620DC489">
            <wp:extent cx="5975985" cy="3152775"/>
            <wp:effectExtent l="0" t="0" r="5715" b="0"/>
            <wp:docPr id="466372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6372613"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978460" cy="3153981"/>
                    </a:xfrm>
                    <a:prstGeom prst="rect">
                      <a:avLst/>
                    </a:prstGeom>
                    <a:noFill/>
                    <a:ln>
                      <a:noFill/>
                    </a:ln>
                  </pic:spPr>
                </pic:pic>
              </a:graphicData>
            </a:graphic>
          </wp:inline>
        </w:drawing>
      </w:r>
    </w:p>
    <w:p w14:paraId="5B56C276" w14:textId="794B52E3" w:rsidR="00502BB2" w:rsidRDefault="0069123E">
      <w:pPr>
        <w:pStyle w:val="Caption"/>
        <w:jc w:val="center"/>
        <w:rPr>
          <w:rFonts w:asciiTheme="minorBidi" w:hAnsiTheme="minorBidi"/>
          <w:sz w:val="24"/>
          <w:szCs w:val="24"/>
        </w:rPr>
      </w:pPr>
      <w:bookmarkStart w:id="14" w:name="_Toc225723007"/>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w:t>
      </w:r>
      <w:r>
        <w:rPr>
          <w:rFonts w:asciiTheme="minorBidi" w:hAnsiTheme="minorBidi"/>
          <w:b/>
          <w:bCs/>
          <w:sz w:val="24"/>
          <w:szCs w:val="24"/>
        </w:rPr>
        <w:fldChar w:fldCharType="end"/>
      </w:r>
      <w:r>
        <w:t xml:space="preserve"> : </w:t>
      </w:r>
      <w:r>
        <w:rPr>
          <w:rFonts w:asciiTheme="minorBidi" w:hAnsiTheme="minorBidi"/>
          <w:sz w:val="24"/>
          <w:szCs w:val="24"/>
        </w:rPr>
        <w:t>Figure sur la signalisation gabaergique</w:t>
      </w:r>
      <w:sdt>
        <w:sdtPr>
          <w:rPr>
            <w:rFonts w:asciiTheme="minorBidi" w:hAnsiTheme="minorBidi"/>
            <w:b/>
            <w:bCs/>
            <w:sz w:val="24"/>
            <w:szCs w:val="24"/>
          </w:rPr>
          <w:id w:val="-123207252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Par25 \l 1036 </w:instrText>
          </w:r>
          <w:r>
            <w:rPr>
              <w:rFonts w:asciiTheme="minorBidi" w:hAnsiTheme="minorBidi"/>
              <w:b/>
              <w:bCs/>
              <w:sz w:val="24"/>
              <w:szCs w:val="24"/>
            </w:rPr>
            <w:fldChar w:fldCharType="separate"/>
          </w:r>
          <w:r>
            <w:rPr>
              <w:rFonts w:asciiTheme="minorBidi" w:hAnsiTheme="minorBidi"/>
              <w:b/>
              <w:bCs/>
              <w:sz w:val="24"/>
              <w:szCs w:val="24"/>
            </w:rPr>
            <w:t xml:space="preserve"> (Park, 2025)</w:t>
          </w:r>
          <w:r>
            <w:rPr>
              <w:rFonts w:asciiTheme="minorBidi" w:hAnsiTheme="minorBidi"/>
              <w:b/>
              <w:bCs/>
              <w:sz w:val="24"/>
              <w:szCs w:val="24"/>
            </w:rPr>
            <w:fldChar w:fldCharType="end"/>
          </w:r>
        </w:sdtContent>
      </w:sdt>
      <w:bookmarkEnd w:id="14"/>
    </w:p>
    <w:p w14:paraId="2A6F137E"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L’état d’altération de conscience est marqué par plusieurs niveaux, suivant une classification et une organisation spécifique basées sur les données cliniques, allant de l’encéphalopathie à l’état de conscience minimale, au syndrome d’éveil non répondant (</w:t>
      </w:r>
      <w:proofErr w:type="spellStart"/>
      <w:r>
        <w:rPr>
          <w:rFonts w:asciiTheme="minorBidi" w:hAnsiTheme="minorBidi"/>
          <w:sz w:val="24"/>
          <w:szCs w:val="24"/>
        </w:rPr>
        <w:t>unresponsive</w:t>
      </w:r>
      <w:proofErr w:type="spellEnd"/>
      <w:r>
        <w:rPr>
          <w:rFonts w:asciiTheme="minorBidi" w:hAnsiTheme="minorBidi"/>
          <w:sz w:val="24"/>
          <w:szCs w:val="24"/>
        </w:rPr>
        <w:t xml:space="preserve"> </w:t>
      </w:r>
      <w:proofErr w:type="spellStart"/>
      <w:r>
        <w:rPr>
          <w:rFonts w:asciiTheme="minorBidi" w:hAnsiTheme="minorBidi"/>
          <w:sz w:val="24"/>
          <w:szCs w:val="24"/>
        </w:rPr>
        <w:t>wakefulness</w:t>
      </w:r>
      <w:proofErr w:type="spellEnd"/>
      <w:r>
        <w:rPr>
          <w:rFonts w:asciiTheme="minorBidi" w:hAnsiTheme="minorBidi"/>
          <w:sz w:val="24"/>
          <w:szCs w:val="24"/>
        </w:rPr>
        <w:t xml:space="preserve"> syndrome), jusqu’à l’état de coma. Ou les avancées en neuroanatomie permettent de mieux comprendre le mécanisme et d’orienter vers un choix adéquat du traitement.</w:t>
      </w:r>
      <w:sdt>
        <w:sdtPr>
          <w:rPr>
            <w:rFonts w:asciiTheme="minorBidi" w:hAnsiTheme="minorBidi"/>
            <w:b/>
            <w:bCs/>
            <w:sz w:val="24"/>
            <w:szCs w:val="24"/>
          </w:rPr>
          <w:id w:val="-173014341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52863956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024B8E76" w14:textId="77777777" w:rsidR="00502BB2" w:rsidRDefault="0069123E">
      <w:pPr>
        <w:pStyle w:val="Heading3"/>
        <w:jc w:val="both"/>
        <w:rPr>
          <w:rFonts w:asciiTheme="minorBidi" w:hAnsiTheme="minorBidi" w:cstheme="minorBidi"/>
          <w:b/>
          <w:bCs/>
          <w:color w:val="0D0D0D" w:themeColor="text1" w:themeTint="F2"/>
          <w:sz w:val="24"/>
          <w:szCs w:val="24"/>
        </w:rPr>
      </w:pPr>
      <w:bookmarkStart w:id="15" w:name="_Toc226577320"/>
      <w:r>
        <w:rPr>
          <w:rFonts w:asciiTheme="minorBidi" w:hAnsiTheme="minorBidi" w:cstheme="minorBidi"/>
          <w:b/>
          <w:bCs/>
          <w:color w:val="0D0D0D" w:themeColor="text1" w:themeTint="F2"/>
          <w:sz w:val="24"/>
          <w:szCs w:val="24"/>
        </w:rPr>
        <w:t>3.  Coma :</w:t>
      </w:r>
      <w:bookmarkEnd w:id="15"/>
    </w:p>
    <w:p w14:paraId="27A4F57F"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Une altération avancée de la conscience, touchant à la fois l’éveil (</w:t>
      </w:r>
      <w:proofErr w:type="spellStart"/>
      <w:r>
        <w:rPr>
          <w:rFonts w:asciiTheme="minorBidi" w:hAnsiTheme="minorBidi"/>
          <w:sz w:val="24"/>
          <w:szCs w:val="24"/>
        </w:rPr>
        <w:t>wakefulness</w:t>
      </w:r>
      <w:proofErr w:type="spellEnd"/>
      <w:r>
        <w:rPr>
          <w:rFonts w:asciiTheme="minorBidi" w:hAnsiTheme="minorBidi"/>
          <w:sz w:val="24"/>
          <w:szCs w:val="24"/>
        </w:rPr>
        <w:t>) et la conscience de l’environnement (</w:t>
      </w:r>
      <w:proofErr w:type="spellStart"/>
      <w:r>
        <w:rPr>
          <w:rFonts w:asciiTheme="minorBidi" w:hAnsiTheme="minorBidi"/>
          <w:sz w:val="24"/>
          <w:szCs w:val="24"/>
        </w:rPr>
        <w:t>awareness</w:t>
      </w:r>
      <w:proofErr w:type="spellEnd"/>
      <w:r>
        <w:rPr>
          <w:rFonts w:asciiTheme="minorBidi" w:hAnsiTheme="minorBidi"/>
          <w:sz w:val="24"/>
          <w:szCs w:val="24"/>
        </w:rPr>
        <w:t>), qui peut conduire à l’état de coma. Celui-ci est défini comme un état de non-réponse aux stimuli internes et externes de l’organisme, résultant d’un échec du maintien de la vigilance et de lésions cérébrales traumatiques ou non traumatiques. Il est généralement associé à des atteintes sévères du tronc cérébral, du thalamus et/ou des deux hémisphères cérébraux simultanément. Cliniquement, il se caractérise par l’absence d’ouverture spontanée des y</w:t>
      </w:r>
      <w:r>
        <w:rPr>
          <w:rFonts w:asciiTheme="minorBidi" w:hAnsiTheme="minorBidi"/>
          <w:sz w:val="24"/>
          <w:szCs w:val="24"/>
        </w:rPr>
        <w:t>eux, l’absence de réponse aux stimuli sensoriels, l’absence de cycles veille-sommeil et l’incapacité à suivre des commandes.</w:t>
      </w:r>
      <w:sdt>
        <w:sdtPr>
          <w:rPr>
            <w:rFonts w:asciiTheme="minorBidi" w:hAnsiTheme="minorBidi"/>
            <w:b/>
            <w:bCs/>
            <w:sz w:val="24"/>
            <w:szCs w:val="24"/>
          </w:rPr>
          <w:id w:val="180534968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39925962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7E6ADE8E" w14:textId="77777777" w:rsidR="00502BB2" w:rsidRDefault="0069123E">
      <w:pPr>
        <w:spacing w:line="360" w:lineRule="auto"/>
        <w:jc w:val="both"/>
        <w:rPr>
          <w:rFonts w:asciiTheme="minorBidi" w:hAnsiTheme="minorBidi"/>
          <w:sz w:val="24"/>
          <w:szCs w:val="24"/>
        </w:rPr>
      </w:pPr>
      <w:r>
        <w:rPr>
          <w:rFonts w:asciiTheme="minorBidi" w:hAnsiTheme="minorBidi"/>
          <w:sz w:val="24"/>
          <w:szCs w:val="24"/>
        </w:rPr>
        <w:lastRenderedPageBreak/>
        <w:t>L’évolution du coma peut conduire soit au décès, soit à une récupération partielle ou complète de l’état d’éveil, selon la cause et la sévérité de l’atteinte cérébrale dans une durée entre 2 à 3 semaines.</w:t>
      </w:r>
      <w:sdt>
        <w:sdtPr>
          <w:rPr>
            <w:rFonts w:asciiTheme="minorBidi" w:hAnsiTheme="minorBidi"/>
            <w:b/>
            <w:bCs/>
            <w:sz w:val="24"/>
            <w:szCs w:val="24"/>
          </w:rPr>
          <w:id w:val="-166431526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96631264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64E8E120" w14:textId="77777777" w:rsidR="00502BB2" w:rsidRDefault="0069123E">
      <w:pPr>
        <w:pStyle w:val="Heading3"/>
        <w:jc w:val="both"/>
        <w:rPr>
          <w:rFonts w:asciiTheme="minorBidi" w:hAnsiTheme="minorBidi" w:cstheme="minorBidi"/>
          <w:b/>
          <w:bCs/>
          <w:color w:val="0D0D0D" w:themeColor="text1" w:themeTint="F2"/>
          <w:sz w:val="24"/>
          <w:szCs w:val="24"/>
        </w:rPr>
      </w:pPr>
      <w:bookmarkStart w:id="16" w:name="_Toc226577321"/>
      <w:r>
        <w:rPr>
          <w:rFonts w:asciiTheme="minorBidi" w:hAnsiTheme="minorBidi" w:cstheme="minorBidi"/>
          <w:b/>
          <w:bCs/>
          <w:color w:val="0D0D0D" w:themeColor="text1" w:themeTint="F2"/>
          <w:sz w:val="24"/>
          <w:szCs w:val="24"/>
        </w:rPr>
        <w:t>4.  Facteurs de survenue de coma :</w:t>
      </w:r>
      <w:bookmarkEnd w:id="16"/>
    </w:p>
    <w:p w14:paraId="5511660F"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La survenue de différents facteurs permet la classification des comas (</w:t>
      </w:r>
      <w:r>
        <w:rPr>
          <w:rFonts w:asciiTheme="minorBidi" w:hAnsiTheme="minorBidi"/>
          <w:b/>
          <w:bCs/>
          <w:sz w:val="24"/>
          <w:szCs w:val="24"/>
        </w:rPr>
        <w:t>tableau 2</w:t>
      </w:r>
      <w:r>
        <w:rPr>
          <w:rFonts w:asciiTheme="minorBidi" w:hAnsiTheme="minorBidi"/>
          <w:sz w:val="24"/>
          <w:szCs w:val="24"/>
        </w:rPr>
        <w:t xml:space="preserve">). Parmi ces facteurs figurent les atteintes vasculaires responsables des comas ischémiques, ainsi que les infections du système nerveux central telles que les méningites, encéphalites et abcès cérébraux. Les traumatismes sont également fréquents et provoquent des atteintes axonales diffuses, entraînant une diminution de la transmission neuronale. Les causes auto-immunes et inflammatoires peuvent également induire des lésions massives du système nerveux central. </w:t>
      </w:r>
      <w:sdt>
        <w:sdtPr>
          <w:rPr>
            <w:rFonts w:asciiTheme="minorBidi" w:hAnsiTheme="minorBidi"/>
            <w:sz w:val="24"/>
            <w:szCs w:val="24"/>
          </w:rPr>
          <w:id w:val="1960139776"/>
        </w:sdtPr>
        <w:sdtEndPr>
          <w:rPr>
            <w:b/>
            <w:bCs/>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32987322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17853AB3"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Les causes les plus fréquentes du coma sont métaboliques et médicamenteuses, notamment dans le contexte du diabète, avec l’hypoglycémie et l’hyperglycémie observées dans l’acidocétose diabétique, ou associés à des altérations endocriniennes touchant des hormones telles que le glucagon, la noradrénaline, l’adrénaline et l’hormone de croissance, ainsi qu’à des désordres osmotiques et ioniques affectant principalement le sodium (Na</w:t>
      </w:r>
      <w:r>
        <w:rPr>
          <w:rFonts w:ascii="Cambria Math" w:hAnsi="Cambria Math" w:cs="Cambria Math"/>
          <w:sz w:val="24"/>
          <w:szCs w:val="24"/>
        </w:rPr>
        <w:t>⁺</w:t>
      </w:r>
      <w:r>
        <w:rPr>
          <w:rFonts w:asciiTheme="minorBidi" w:hAnsiTheme="minorBidi"/>
          <w:sz w:val="24"/>
          <w:szCs w:val="24"/>
        </w:rPr>
        <w:t>), le potassium (K</w:t>
      </w:r>
      <w:r>
        <w:rPr>
          <w:rFonts w:ascii="Cambria Math" w:hAnsi="Cambria Math" w:cs="Cambria Math"/>
          <w:sz w:val="24"/>
          <w:szCs w:val="24"/>
        </w:rPr>
        <w:t>⁺</w:t>
      </w:r>
      <w:r>
        <w:rPr>
          <w:rFonts w:asciiTheme="minorBidi" w:hAnsiTheme="minorBidi"/>
          <w:sz w:val="24"/>
          <w:szCs w:val="24"/>
        </w:rPr>
        <w:t>), l’ammonium (NH</w:t>
      </w:r>
      <w:r>
        <w:rPr>
          <w:rFonts w:ascii="Cambria Math" w:hAnsi="Cambria Math" w:cs="Cambria Math"/>
          <w:sz w:val="24"/>
          <w:szCs w:val="24"/>
        </w:rPr>
        <w:t>₄⁺</w:t>
      </w:r>
      <w:r>
        <w:rPr>
          <w:rFonts w:asciiTheme="minorBidi" w:hAnsiTheme="minorBidi"/>
          <w:sz w:val="24"/>
          <w:szCs w:val="24"/>
        </w:rPr>
        <w:t>) et le calcium (Ca²</w:t>
      </w:r>
      <w:r>
        <w:rPr>
          <w:rFonts w:ascii="Cambria Math" w:hAnsi="Cambria Math" w:cs="Cambria Math"/>
          <w:sz w:val="24"/>
          <w:szCs w:val="24"/>
        </w:rPr>
        <w:t>⁺</w:t>
      </w:r>
      <w:r>
        <w:rPr>
          <w:rFonts w:asciiTheme="minorBidi" w:hAnsiTheme="minorBidi"/>
          <w:sz w:val="24"/>
          <w:szCs w:val="24"/>
        </w:rPr>
        <w:t>). Ces différentes causes peuvent entraîner divers niveaux d’altération de la conscience présentées dans le (</w:t>
      </w:r>
      <w:r>
        <w:rPr>
          <w:rFonts w:asciiTheme="minorBidi" w:hAnsiTheme="minorBidi"/>
          <w:b/>
          <w:bCs/>
          <w:sz w:val="24"/>
          <w:szCs w:val="24"/>
        </w:rPr>
        <w:t>tableau 01</w:t>
      </w:r>
      <w:r>
        <w:rPr>
          <w:rFonts w:asciiTheme="minorBidi" w:hAnsiTheme="minorBidi"/>
          <w:sz w:val="24"/>
          <w:szCs w:val="24"/>
        </w:rPr>
        <w:t>).</w:t>
      </w:r>
      <w:sdt>
        <w:sdtPr>
          <w:rPr>
            <w:rFonts w:asciiTheme="minorBidi" w:hAnsiTheme="minorBidi"/>
            <w:b/>
            <w:bCs/>
            <w:sz w:val="24"/>
            <w:szCs w:val="24"/>
          </w:rPr>
          <w:id w:val="-18537167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33452580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6D29920F" w14:textId="0ACD8D5B" w:rsidR="00502BB2" w:rsidRDefault="0069123E">
      <w:pPr>
        <w:pStyle w:val="Caption"/>
        <w:keepNext/>
      </w:pPr>
      <w:bookmarkStart w:id="17" w:name="_Toc226577296"/>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1</w:t>
      </w:r>
      <w:r>
        <w:rPr>
          <w:rFonts w:asciiTheme="minorBidi" w:hAnsiTheme="minorBidi"/>
          <w:b/>
          <w:bCs/>
          <w:sz w:val="24"/>
          <w:szCs w:val="24"/>
        </w:rPr>
        <w:fldChar w:fldCharType="end"/>
      </w:r>
      <w:r>
        <w:t xml:space="preserve"> : </w:t>
      </w:r>
      <w:r>
        <w:rPr>
          <w:rFonts w:asciiTheme="minorBidi" w:hAnsiTheme="minorBidi"/>
          <w:sz w:val="24"/>
          <w:szCs w:val="24"/>
        </w:rPr>
        <w:t xml:space="preserve">Résumé des différentes causes de coma. </w:t>
      </w:r>
      <w:sdt>
        <w:sdtPr>
          <w:rPr>
            <w:rFonts w:asciiTheme="minorBidi" w:hAnsiTheme="minorBidi"/>
            <w:b/>
            <w:bCs/>
            <w:sz w:val="24"/>
            <w:szCs w:val="24"/>
          </w:rPr>
          <w:id w:val="-183906588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(Mathur, 2021)</w:t>
          </w:r>
          <w:r>
            <w:rPr>
              <w:rFonts w:asciiTheme="minorBidi" w:hAnsiTheme="minorBidi"/>
              <w:b/>
              <w:bCs/>
              <w:sz w:val="24"/>
              <w:szCs w:val="24"/>
            </w:rPr>
            <w:fldChar w:fldCharType="end"/>
          </w:r>
        </w:sdtContent>
      </w:sdt>
      <w:bookmarkEnd w:id="17"/>
    </w:p>
    <w:tbl>
      <w:tblPr>
        <w:tblStyle w:val="PlainTable51"/>
        <w:tblW w:w="0" w:type="auto"/>
        <w:shd w:val="clear" w:color="auto" w:fill="F2F2F2" w:themeFill="background1" w:themeFillShade="F2"/>
        <w:tblLook w:val="04A0" w:firstRow="1" w:lastRow="0" w:firstColumn="1" w:lastColumn="0" w:noHBand="0" w:noVBand="1"/>
      </w:tblPr>
      <w:tblGrid>
        <w:gridCol w:w="4531"/>
        <w:gridCol w:w="4531"/>
      </w:tblGrid>
      <w:tr w:rsidR="00502BB2" w14:paraId="57CB9D9F" w14:textId="77777777" w:rsidTr="00502B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531" w:type="dxa"/>
            <w:shd w:val="clear" w:color="auto" w:fill="F2F2F2" w:themeFill="background1" w:themeFillShade="F2"/>
          </w:tcPr>
          <w:p w14:paraId="6ED529A8"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Causes vasculaires</w:t>
            </w:r>
          </w:p>
        </w:tc>
        <w:tc>
          <w:tcPr>
            <w:tcW w:w="4531" w:type="dxa"/>
            <w:shd w:val="clear" w:color="auto" w:fill="F2F2F2" w:themeFill="background1" w:themeFillShade="F2"/>
          </w:tcPr>
          <w:p w14:paraId="02ABF491" w14:textId="77777777" w:rsidR="00502BB2" w:rsidRDefault="0069123E">
            <w:pPr>
              <w:pStyle w:val="ListParagraph"/>
              <w:numPr>
                <w:ilvl w:val="0"/>
                <w:numId w:val="2"/>
              </w:num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Accident vasculaire cérébral (AVC) ischémique / hypoperfusion cérébrale</w:t>
            </w:r>
          </w:p>
          <w:p w14:paraId="19D20CC2" w14:textId="77777777" w:rsidR="00502BB2" w:rsidRDefault="0069123E">
            <w:pPr>
              <w:pStyle w:val="ListParagraph"/>
              <w:numPr>
                <w:ilvl w:val="0"/>
                <w:numId w:val="2"/>
              </w:num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Hémorragie intracérébrale</w:t>
            </w:r>
          </w:p>
          <w:p w14:paraId="2A403D28" w14:textId="77777777" w:rsidR="00502BB2" w:rsidRDefault="0069123E">
            <w:pPr>
              <w:pStyle w:val="ListParagraph"/>
              <w:numPr>
                <w:ilvl w:val="0"/>
                <w:numId w:val="2"/>
              </w:num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Hémorragie sous-arachnoïdienne</w:t>
            </w:r>
          </w:p>
          <w:p w14:paraId="7D76E75E" w14:textId="77777777" w:rsidR="00502BB2" w:rsidRDefault="0069123E">
            <w:pPr>
              <w:pStyle w:val="ListParagraph"/>
              <w:numPr>
                <w:ilvl w:val="0"/>
                <w:numId w:val="2"/>
              </w:num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Arrêt cardiaque</w:t>
            </w:r>
          </w:p>
          <w:p w14:paraId="5596F80F" w14:textId="77777777" w:rsidR="00502BB2" w:rsidRDefault="0069123E">
            <w:pPr>
              <w:pStyle w:val="ListParagraph"/>
              <w:numPr>
                <w:ilvl w:val="0"/>
                <w:numId w:val="2"/>
              </w:num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Vascularites cérébrales</w:t>
            </w:r>
          </w:p>
          <w:p w14:paraId="1BB73B7B" w14:textId="77777777" w:rsidR="00502BB2" w:rsidRDefault="0069123E">
            <w:pPr>
              <w:pStyle w:val="ListParagraph"/>
              <w:numPr>
                <w:ilvl w:val="0"/>
                <w:numId w:val="2"/>
              </w:num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lastRenderedPageBreak/>
              <w:t>Syndrome d’encéphalopathie postérieure réversible (PRES)</w:t>
            </w:r>
          </w:p>
          <w:p w14:paraId="5F71A3F7" w14:textId="77777777" w:rsidR="00502BB2" w:rsidRDefault="0069123E">
            <w:pPr>
              <w:pStyle w:val="ListParagraph"/>
              <w:numPr>
                <w:ilvl w:val="0"/>
                <w:numId w:val="2"/>
              </w:num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Migraine basilaire</w:t>
            </w:r>
          </w:p>
          <w:p w14:paraId="25AC231C" w14:textId="77777777" w:rsidR="00502BB2" w:rsidRDefault="00502BB2">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p>
        </w:tc>
      </w:tr>
      <w:tr w:rsidR="00502BB2" w14:paraId="77EB4877"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396ABC4C"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Causes infectieuses</w:t>
            </w:r>
          </w:p>
        </w:tc>
        <w:tc>
          <w:tcPr>
            <w:tcW w:w="4531" w:type="dxa"/>
            <w:shd w:val="clear" w:color="auto" w:fill="F2F2F2" w:themeFill="background1" w:themeFillShade="F2"/>
          </w:tcPr>
          <w:p w14:paraId="4EC679CA" w14:textId="77777777" w:rsidR="00502BB2" w:rsidRDefault="0069123E">
            <w:pPr>
              <w:pStyle w:val="ListParagraph"/>
              <w:numPr>
                <w:ilvl w:val="0"/>
                <w:numId w:val="3"/>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Méningite</w:t>
            </w:r>
          </w:p>
          <w:p w14:paraId="2F3B0D7B" w14:textId="77777777" w:rsidR="00502BB2" w:rsidRDefault="0069123E">
            <w:pPr>
              <w:pStyle w:val="ListParagraph"/>
              <w:numPr>
                <w:ilvl w:val="0"/>
                <w:numId w:val="3"/>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Encéphalite</w:t>
            </w:r>
          </w:p>
          <w:p w14:paraId="0780EC06" w14:textId="77777777" w:rsidR="00502BB2" w:rsidRDefault="0069123E">
            <w:pPr>
              <w:pStyle w:val="ListParagraph"/>
              <w:numPr>
                <w:ilvl w:val="0"/>
                <w:numId w:val="3"/>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Abcès cérébral</w:t>
            </w:r>
          </w:p>
        </w:tc>
      </w:tr>
      <w:tr w:rsidR="00502BB2" w14:paraId="01B2AF8A"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1847F678"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Causes traumatiques</w:t>
            </w:r>
          </w:p>
        </w:tc>
        <w:tc>
          <w:tcPr>
            <w:tcW w:w="4531" w:type="dxa"/>
            <w:shd w:val="clear" w:color="auto" w:fill="F2F2F2" w:themeFill="background1" w:themeFillShade="F2"/>
          </w:tcPr>
          <w:p w14:paraId="1BC7092D" w14:textId="77777777" w:rsidR="00502BB2" w:rsidRDefault="0069123E">
            <w:pPr>
              <w:pStyle w:val="ListParagraph"/>
              <w:numPr>
                <w:ilvl w:val="0"/>
                <w:numId w:val="3"/>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Lésion directe des structures cérébrales essentielles</w:t>
            </w:r>
          </w:p>
          <w:p w14:paraId="3DB7C3F0" w14:textId="77777777" w:rsidR="00502BB2" w:rsidRDefault="0069123E">
            <w:pPr>
              <w:pStyle w:val="ListParagraph"/>
              <w:numPr>
                <w:ilvl w:val="0"/>
                <w:numId w:val="3"/>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Lésion axonale diffuse</w:t>
            </w:r>
          </w:p>
          <w:p w14:paraId="4DE497B1" w14:textId="77777777" w:rsidR="00502BB2" w:rsidRDefault="0069123E">
            <w:pPr>
              <w:pStyle w:val="ListParagraph"/>
              <w:numPr>
                <w:ilvl w:val="0"/>
                <w:numId w:val="3"/>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Hématome sous-dural</w:t>
            </w:r>
          </w:p>
          <w:p w14:paraId="559C4268" w14:textId="77777777" w:rsidR="00502BB2" w:rsidRDefault="0069123E">
            <w:pPr>
              <w:pStyle w:val="ListParagraph"/>
              <w:numPr>
                <w:ilvl w:val="0"/>
                <w:numId w:val="3"/>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Hématome épidural</w:t>
            </w:r>
          </w:p>
          <w:p w14:paraId="66AC7934"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502BB2" w14:paraId="313B55A7"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3F04E6F9"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Causes auto-immunes et inflammatoires</w:t>
            </w:r>
          </w:p>
        </w:tc>
        <w:tc>
          <w:tcPr>
            <w:tcW w:w="4531" w:type="dxa"/>
            <w:shd w:val="clear" w:color="auto" w:fill="F2F2F2" w:themeFill="background1" w:themeFillShade="F2"/>
          </w:tcPr>
          <w:p w14:paraId="3A1DADE2"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Méningite auto-immune</w:t>
            </w:r>
          </w:p>
          <w:p w14:paraId="1FA49643"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Encéphalite auto-immune</w:t>
            </w:r>
          </w:p>
          <w:p w14:paraId="0825560B"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Maladies auto-immunes systémiques avec atteinte du système nerveux central</w:t>
            </w:r>
          </w:p>
          <w:p w14:paraId="1B62A556"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Syndrome de leuco encéphalopathie postérieure réversible</w:t>
            </w:r>
          </w:p>
          <w:p w14:paraId="326D96B4"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502BB2" w14:paraId="65900B70"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4C51AE7A"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Désordres métaboliques</w:t>
            </w:r>
          </w:p>
        </w:tc>
        <w:tc>
          <w:tcPr>
            <w:tcW w:w="4531" w:type="dxa"/>
            <w:shd w:val="clear" w:color="auto" w:fill="F2F2F2" w:themeFill="background1" w:themeFillShade="F2"/>
          </w:tcPr>
          <w:p w14:paraId="749F4ABF"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Hypoxie</w:t>
            </w:r>
          </w:p>
          <w:p w14:paraId="1E0365B8"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Hypoglycémie</w:t>
            </w:r>
          </w:p>
          <w:p w14:paraId="0361FFB7"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 xml:space="preserve">Hyperglycémie (acidocétose diabétique, syndrome hyperosmolaire non </w:t>
            </w:r>
            <w:proofErr w:type="spellStart"/>
            <w:r>
              <w:rPr>
                <w:rFonts w:asciiTheme="minorBidi" w:hAnsiTheme="minorBidi"/>
                <w:sz w:val="24"/>
                <w:szCs w:val="24"/>
              </w:rPr>
              <w:t>cétosique</w:t>
            </w:r>
            <w:proofErr w:type="spellEnd"/>
            <w:r>
              <w:rPr>
                <w:rFonts w:asciiTheme="minorBidi" w:hAnsiTheme="minorBidi"/>
                <w:sz w:val="24"/>
                <w:szCs w:val="24"/>
              </w:rPr>
              <w:t>)</w:t>
            </w:r>
          </w:p>
          <w:p w14:paraId="619BC7FA"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Hyponatrémie</w:t>
            </w:r>
          </w:p>
          <w:p w14:paraId="30539A03"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Syndrome de démyélinisation osmotique (correction rapide d’une hyponatrémie)</w:t>
            </w:r>
          </w:p>
          <w:p w14:paraId="124836EA"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lastRenderedPageBreak/>
              <w:t>Dysfonction thyroïdienne : coma myxœdémateux, thyrotoxicose</w:t>
            </w:r>
          </w:p>
          <w:p w14:paraId="776F6FF8"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Apoplexie hypophysaire</w:t>
            </w:r>
          </w:p>
          <w:p w14:paraId="09276972"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Insuffisance surrénalienne aiguë</w:t>
            </w:r>
          </w:p>
          <w:p w14:paraId="4804E0B4"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Urémie</w:t>
            </w:r>
          </w:p>
          <w:p w14:paraId="7E2D2C42"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Hypercapnie</w:t>
            </w:r>
          </w:p>
          <w:p w14:paraId="2607DC22"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roofErr w:type="spellStart"/>
            <w:r>
              <w:rPr>
                <w:rFonts w:asciiTheme="minorBidi" w:hAnsiTheme="minorBidi"/>
                <w:sz w:val="24"/>
                <w:szCs w:val="24"/>
              </w:rPr>
              <w:t>Hyperammoniémie</w:t>
            </w:r>
            <w:proofErr w:type="spellEnd"/>
          </w:p>
          <w:p w14:paraId="1694DD72"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Hypocalcémie et hypercalcémie</w:t>
            </w:r>
          </w:p>
          <w:p w14:paraId="680010C4"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502BB2" w14:paraId="68307CC9"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6213B887"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Causes médicamenteuses et toxiques</w:t>
            </w:r>
          </w:p>
        </w:tc>
        <w:tc>
          <w:tcPr>
            <w:tcW w:w="4531" w:type="dxa"/>
            <w:shd w:val="clear" w:color="auto" w:fill="F2F2F2" w:themeFill="background1" w:themeFillShade="F2"/>
          </w:tcPr>
          <w:p w14:paraId="299B0203"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Intoxication ou surdosage aux opioïdes</w:t>
            </w:r>
          </w:p>
          <w:p w14:paraId="3AA9074E"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roofErr w:type="spellStart"/>
            <w:r>
              <w:rPr>
                <w:rFonts w:asciiTheme="minorBidi" w:hAnsiTheme="minorBidi"/>
                <w:sz w:val="24"/>
                <w:szCs w:val="24"/>
              </w:rPr>
              <w:t>Gabapentinoïdes</w:t>
            </w:r>
            <w:proofErr w:type="spellEnd"/>
          </w:p>
          <w:p w14:paraId="018A097E"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Propofol</w:t>
            </w:r>
          </w:p>
          <w:p w14:paraId="279AC532"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 xml:space="preserve">Sédatifs-hypnotiques (alcool, benzodiazépines, barbituriques, baclofène, </w:t>
            </w:r>
            <w:proofErr w:type="spellStart"/>
            <w:r>
              <w:rPr>
                <w:rFonts w:asciiTheme="minorBidi" w:hAnsiTheme="minorBidi"/>
                <w:sz w:val="24"/>
                <w:szCs w:val="24"/>
              </w:rPr>
              <w:t>clonidine</w:t>
            </w:r>
            <w:proofErr w:type="spellEnd"/>
            <w:r>
              <w:rPr>
                <w:rFonts w:asciiTheme="minorBidi" w:hAnsiTheme="minorBidi"/>
                <w:sz w:val="24"/>
                <w:szCs w:val="24"/>
              </w:rPr>
              <w:t>)</w:t>
            </w:r>
          </w:p>
          <w:p w14:paraId="778BDF43"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Syndrome de sevrage à la cocaïne</w:t>
            </w:r>
          </w:p>
          <w:p w14:paraId="4C00F959"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Intoxication au monoxyde de carbone (CO)</w:t>
            </w:r>
          </w:p>
          <w:p w14:paraId="5C6AB20F"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Surdosage en antidépresseurs tricycliques</w:t>
            </w:r>
          </w:p>
          <w:p w14:paraId="043DC46B"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Intoxication aux organophosphorés</w:t>
            </w:r>
          </w:p>
          <w:p w14:paraId="50A4DD9D"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Neurotoxicité aux céfépimes</w:t>
            </w:r>
          </w:p>
          <w:p w14:paraId="5FD6B855"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Syndrome sérotoninergique</w:t>
            </w:r>
          </w:p>
          <w:p w14:paraId="4B6A8F16"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Syndrome malin des neuroleptiques</w:t>
            </w:r>
          </w:p>
          <w:p w14:paraId="520022A5"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Médicaments antiépileptiques</w:t>
            </w:r>
          </w:p>
          <w:p w14:paraId="6A3E041B"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502BB2" w14:paraId="0C244EAE"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27302A53"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Causes tumorales</w:t>
            </w:r>
          </w:p>
        </w:tc>
        <w:tc>
          <w:tcPr>
            <w:tcW w:w="4531" w:type="dxa"/>
            <w:shd w:val="clear" w:color="auto" w:fill="F2F2F2" w:themeFill="background1" w:themeFillShade="F2"/>
          </w:tcPr>
          <w:p w14:paraId="7DD47CED"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Tumeurs intracrâniennes bénignes ou malignes avec effet de masse et/ou œdème</w:t>
            </w:r>
          </w:p>
          <w:p w14:paraId="5BC99AF0"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lastRenderedPageBreak/>
              <w:t>Méningite carcinomateuse</w:t>
            </w:r>
          </w:p>
          <w:p w14:paraId="6049D95A" w14:textId="77777777" w:rsidR="00502BB2" w:rsidRDefault="00502BB2">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502BB2" w14:paraId="2E4771F5"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67EB1BC9"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Causes épileptiques</w:t>
            </w:r>
          </w:p>
        </w:tc>
        <w:tc>
          <w:tcPr>
            <w:tcW w:w="4531" w:type="dxa"/>
            <w:shd w:val="clear" w:color="auto" w:fill="F2F2F2" w:themeFill="background1" w:themeFillShade="F2"/>
          </w:tcPr>
          <w:p w14:paraId="4195DF29"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 xml:space="preserve"> État de mal épileptique non convulsif</w:t>
            </w:r>
          </w:p>
          <w:p w14:paraId="2D9F0C60"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 xml:space="preserve"> État postcritique</w:t>
            </w:r>
          </w:p>
          <w:p w14:paraId="49AA889B" w14:textId="77777777" w:rsidR="00502BB2" w:rsidRDefault="00502BB2">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r w:rsidR="00502BB2" w14:paraId="7157BCC3"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05EBA112"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Troubles du liquide cérébrospinal (LCS)</w:t>
            </w:r>
          </w:p>
        </w:tc>
        <w:tc>
          <w:tcPr>
            <w:tcW w:w="4531" w:type="dxa"/>
            <w:shd w:val="clear" w:color="auto" w:fill="F2F2F2" w:themeFill="background1" w:themeFillShade="F2"/>
          </w:tcPr>
          <w:p w14:paraId="3B8ED395" w14:textId="77777777" w:rsidR="00502BB2" w:rsidRDefault="0069123E">
            <w:pPr>
              <w:pStyle w:val="ListParagraph"/>
              <w:numPr>
                <w:ilvl w:val="0"/>
                <w:numId w:val="4"/>
              </w:num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Hydrocéphalie (communicante ou non communicante)</w:t>
            </w:r>
          </w:p>
        </w:tc>
      </w:tr>
      <w:tr w:rsidR="00502BB2" w14:paraId="2A67D2D3" w14:textId="77777777" w:rsidTr="00502BB2">
        <w:tc>
          <w:tcPr>
            <w:cnfStyle w:val="001000000000" w:firstRow="0" w:lastRow="0" w:firstColumn="1" w:lastColumn="0" w:oddVBand="0" w:evenVBand="0" w:oddHBand="0" w:evenHBand="0" w:firstRowFirstColumn="0" w:firstRowLastColumn="0" w:lastRowFirstColumn="0" w:lastRowLastColumn="0"/>
            <w:tcW w:w="4531" w:type="dxa"/>
            <w:shd w:val="clear" w:color="auto" w:fill="F2F2F2" w:themeFill="background1" w:themeFillShade="F2"/>
          </w:tcPr>
          <w:p w14:paraId="4DF1898A"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Anomalies développementales ou congénitales</w:t>
            </w:r>
          </w:p>
        </w:tc>
        <w:tc>
          <w:tcPr>
            <w:tcW w:w="4531" w:type="dxa"/>
            <w:shd w:val="clear" w:color="auto" w:fill="F2F2F2" w:themeFill="background1" w:themeFillShade="F2"/>
          </w:tcPr>
          <w:p w14:paraId="463640FC" w14:textId="77777777" w:rsidR="00502BB2" w:rsidRDefault="00502BB2">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p>
        </w:tc>
      </w:tr>
    </w:tbl>
    <w:p w14:paraId="6C0FA2DF" w14:textId="77777777" w:rsidR="00502BB2" w:rsidRDefault="00502BB2">
      <w:pPr>
        <w:spacing w:line="360" w:lineRule="auto"/>
        <w:rPr>
          <w:rFonts w:asciiTheme="minorBidi" w:hAnsiTheme="minorBidi"/>
          <w:sz w:val="24"/>
          <w:szCs w:val="24"/>
        </w:rPr>
      </w:pPr>
    </w:p>
    <w:p w14:paraId="2EE82406" w14:textId="77777777" w:rsidR="00502BB2" w:rsidRDefault="0069123E">
      <w:pPr>
        <w:pStyle w:val="Heading3"/>
        <w:jc w:val="both"/>
        <w:rPr>
          <w:rFonts w:asciiTheme="minorBidi" w:hAnsiTheme="minorBidi" w:cstheme="minorBidi"/>
          <w:b/>
          <w:bCs/>
          <w:color w:val="0D0D0D" w:themeColor="text1" w:themeTint="F2"/>
          <w:sz w:val="24"/>
          <w:szCs w:val="24"/>
        </w:rPr>
      </w:pPr>
      <w:bookmarkStart w:id="18" w:name="_Toc226577322"/>
      <w:r>
        <w:rPr>
          <w:rFonts w:asciiTheme="minorBidi" w:hAnsiTheme="minorBidi" w:cstheme="minorBidi"/>
          <w:b/>
          <w:bCs/>
          <w:color w:val="0D0D0D" w:themeColor="text1" w:themeTint="F2"/>
          <w:sz w:val="24"/>
          <w:szCs w:val="24"/>
        </w:rPr>
        <w:t>5.  Diagnostiques :</w:t>
      </w:r>
      <w:bookmarkEnd w:id="18"/>
    </w:p>
    <w:p w14:paraId="1ABAB9F2"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Plusieurs méthodes cliniques sont utilisées pour identifier et diagnostiquer une altération de la conscience et la présence d’un état de coma, ainsi que pour en déterminer la classification, ou on trouve : </w:t>
      </w:r>
    </w:p>
    <w:p w14:paraId="087C427F" w14:textId="77777777" w:rsidR="00502BB2" w:rsidRDefault="0069123E">
      <w:pPr>
        <w:pStyle w:val="ListParagraph"/>
        <w:numPr>
          <w:ilvl w:val="0"/>
          <w:numId w:val="5"/>
        </w:numPr>
        <w:spacing w:line="360" w:lineRule="auto"/>
        <w:jc w:val="both"/>
        <w:rPr>
          <w:rFonts w:asciiTheme="minorBidi" w:hAnsiTheme="minorBidi"/>
          <w:sz w:val="24"/>
          <w:szCs w:val="24"/>
        </w:rPr>
      </w:pPr>
      <w:r>
        <w:rPr>
          <w:rFonts w:asciiTheme="minorBidi" w:hAnsiTheme="minorBidi"/>
          <w:sz w:val="24"/>
          <w:szCs w:val="24"/>
        </w:rPr>
        <w:t xml:space="preserve">Les algorithmes d’évaluation ACLS (Advanced </w:t>
      </w:r>
      <w:proofErr w:type="spellStart"/>
      <w:r>
        <w:rPr>
          <w:rFonts w:asciiTheme="minorBidi" w:hAnsiTheme="minorBidi"/>
          <w:sz w:val="24"/>
          <w:szCs w:val="24"/>
        </w:rPr>
        <w:t>Cardiac</w:t>
      </w:r>
      <w:proofErr w:type="spellEnd"/>
      <w:r>
        <w:rPr>
          <w:rFonts w:asciiTheme="minorBidi" w:hAnsiTheme="minorBidi"/>
          <w:sz w:val="24"/>
          <w:szCs w:val="24"/>
        </w:rPr>
        <w:t xml:space="preserve"> Life Support) et ATLS (Advanced Trauma Life Support) sont appliqués chez les patients présentant des pathologies critiques, en se basant sur les critères d’</w:t>
      </w:r>
      <w:proofErr w:type="spellStart"/>
      <w:r>
        <w:rPr>
          <w:rFonts w:asciiTheme="minorBidi" w:hAnsiTheme="minorBidi"/>
          <w:sz w:val="24"/>
          <w:szCs w:val="24"/>
        </w:rPr>
        <w:t>ABCD’s</w:t>
      </w:r>
      <w:proofErr w:type="spellEnd"/>
      <w:r>
        <w:rPr>
          <w:rFonts w:asciiTheme="minorBidi" w:hAnsiTheme="minorBidi"/>
          <w:sz w:val="24"/>
          <w:szCs w:val="24"/>
        </w:rPr>
        <w:t xml:space="preserve"> (Airways, </w:t>
      </w:r>
      <w:proofErr w:type="spellStart"/>
      <w:r>
        <w:rPr>
          <w:rFonts w:asciiTheme="minorBidi" w:hAnsiTheme="minorBidi"/>
          <w:sz w:val="24"/>
          <w:szCs w:val="24"/>
        </w:rPr>
        <w:t>breathing</w:t>
      </w:r>
      <w:proofErr w:type="spellEnd"/>
      <w:r>
        <w:rPr>
          <w:rFonts w:asciiTheme="minorBidi" w:hAnsiTheme="minorBidi"/>
          <w:sz w:val="24"/>
          <w:szCs w:val="24"/>
        </w:rPr>
        <w:t xml:space="preserve">, circulation, </w:t>
      </w:r>
      <w:proofErr w:type="spellStart"/>
      <w:r>
        <w:rPr>
          <w:rFonts w:asciiTheme="minorBidi" w:hAnsiTheme="minorBidi"/>
          <w:sz w:val="24"/>
          <w:szCs w:val="24"/>
        </w:rPr>
        <w:t>defibrilation</w:t>
      </w:r>
      <w:proofErr w:type="spellEnd"/>
      <w:r>
        <w:rPr>
          <w:rFonts w:asciiTheme="minorBidi" w:hAnsiTheme="minorBidi"/>
          <w:sz w:val="24"/>
          <w:szCs w:val="24"/>
        </w:rPr>
        <w:t>) (</w:t>
      </w:r>
      <w:r>
        <w:rPr>
          <w:rFonts w:asciiTheme="minorBidi" w:hAnsiTheme="minorBidi"/>
          <w:b/>
          <w:bCs/>
          <w:sz w:val="24"/>
          <w:szCs w:val="24"/>
        </w:rPr>
        <w:t>figure 04</w:t>
      </w:r>
      <w:r>
        <w:rPr>
          <w:rFonts w:asciiTheme="minorBidi" w:hAnsiTheme="minorBidi"/>
          <w:sz w:val="24"/>
          <w:szCs w:val="24"/>
        </w:rPr>
        <w:t>), ainsi que sur la protection du rachis cervical (c-</w:t>
      </w:r>
      <w:proofErr w:type="spellStart"/>
      <w:r>
        <w:rPr>
          <w:rFonts w:asciiTheme="minorBidi" w:hAnsiTheme="minorBidi"/>
          <w:sz w:val="24"/>
          <w:szCs w:val="24"/>
        </w:rPr>
        <w:t>spine</w:t>
      </w:r>
      <w:proofErr w:type="spellEnd"/>
      <w:r>
        <w:rPr>
          <w:rFonts w:asciiTheme="minorBidi" w:hAnsiTheme="minorBidi"/>
          <w:sz w:val="24"/>
          <w:szCs w:val="24"/>
        </w:rPr>
        <w:t>), qui sont liés à déterminer la présence d’atteintes traumatiques et leurs évolutions (</w:t>
      </w:r>
      <w:r>
        <w:rPr>
          <w:rFonts w:asciiTheme="minorBidi" w:hAnsiTheme="minorBidi"/>
          <w:b/>
          <w:bCs/>
          <w:sz w:val="24"/>
          <w:szCs w:val="24"/>
        </w:rPr>
        <w:t>figure 58, annexe 1)</w:t>
      </w:r>
    </w:p>
    <w:p w14:paraId="220FC3DA" w14:textId="77777777" w:rsidR="00502BB2" w:rsidRDefault="0069123E">
      <w:pPr>
        <w:pStyle w:val="ListParagraph"/>
        <w:keepNext/>
        <w:spacing w:line="360" w:lineRule="auto"/>
        <w:ind w:left="360"/>
        <w:jc w:val="center"/>
      </w:pPr>
      <w:r>
        <w:rPr>
          <w:rFonts w:asciiTheme="minorBidi" w:hAnsiTheme="minorBidi"/>
          <w:noProof/>
          <w:sz w:val="24"/>
          <w:szCs w:val="24"/>
        </w:rPr>
        <w:lastRenderedPageBreak/>
        <w:drawing>
          <wp:inline distT="0" distB="0" distL="0" distR="0" wp14:anchorId="4539AF02" wp14:editId="50FBC780">
            <wp:extent cx="4751070" cy="5691505"/>
            <wp:effectExtent l="0" t="0" r="0" b="4445"/>
            <wp:docPr id="207931239" name="Picture 2" descr="Advance Cardiac Life Support algorith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31239" name="Picture 2" descr="Advance Cardiac Life Support algorithm. "/>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755344" cy="5696768"/>
                    </a:xfrm>
                    <a:prstGeom prst="rect">
                      <a:avLst/>
                    </a:prstGeom>
                    <a:noFill/>
                    <a:ln>
                      <a:noFill/>
                    </a:ln>
                  </pic:spPr>
                </pic:pic>
              </a:graphicData>
            </a:graphic>
          </wp:inline>
        </w:drawing>
      </w:r>
    </w:p>
    <w:p w14:paraId="51D94122" w14:textId="34964962" w:rsidR="00502BB2" w:rsidRDefault="0069123E">
      <w:pPr>
        <w:pStyle w:val="Caption"/>
        <w:jc w:val="center"/>
        <w:rPr>
          <w:rFonts w:asciiTheme="minorBidi" w:hAnsiTheme="minorBidi"/>
          <w:sz w:val="24"/>
          <w:szCs w:val="24"/>
        </w:rPr>
      </w:pPr>
      <w:bookmarkStart w:id="19" w:name="_Toc225723008"/>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w:t>
      </w:r>
      <w:r>
        <w:rPr>
          <w:rFonts w:asciiTheme="minorBidi" w:hAnsiTheme="minorBidi"/>
          <w:b/>
          <w:bCs/>
          <w:sz w:val="24"/>
          <w:szCs w:val="24"/>
        </w:rPr>
        <w:fldChar w:fldCharType="end"/>
      </w:r>
      <w:r>
        <w:t> </w:t>
      </w:r>
      <w:r>
        <w:rPr>
          <w:rFonts w:asciiTheme="minorBidi" w:hAnsiTheme="minorBidi"/>
          <w:sz w:val="24"/>
          <w:szCs w:val="24"/>
        </w:rPr>
        <w:t xml:space="preserve">: Figure des critères du suivi ABCD  </w:t>
      </w:r>
      <w:sdt>
        <w:sdtPr>
          <w:rPr>
            <w:rFonts w:asciiTheme="minorBidi" w:hAnsiTheme="minorBidi"/>
            <w:b/>
            <w:bCs/>
            <w:sz w:val="24"/>
            <w:szCs w:val="24"/>
          </w:rPr>
          <w:id w:val="146654051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Chi17 \l 1036 </w:instrText>
          </w:r>
          <w:r>
            <w:rPr>
              <w:rFonts w:asciiTheme="minorBidi" w:hAnsiTheme="minorBidi"/>
              <w:b/>
              <w:bCs/>
              <w:sz w:val="24"/>
              <w:szCs w:val="24"/>
            </w:rPr>
            <w:fldChar w:fldCharType="separate"/>
          </w:r>
          <w:r>
            <w:rPr>
              <w:rFonts w:asciiTheme="minorBidi" w:hAnsiTheme="minorBidi"/>
              <w:b/>
              <w:bCs/>
              <w:sz w:val="24"/>
              <w:szCs w:val="24"/>
            </w:rPr>
            <w:t>(Ching, 2017)</w:t>
          </w:r>
          <w:r>
            <w:rPr>
              <w:rFonts w:asciiTheme="minorBidi" w:hAnsiTheme="minorBidi"/>
              <w:b/>
              <w:bCs/>
              <w:sz w:val="24"/>
              <w:szCs w:val="24"/>
            </w:rPr>
            <w:fldChar w:fldCharType="end"/>
          </w:r>
        </w:sdtContent>
      </w:sdt>
      <w:bookmarkEnd w:id="19"/>
    </w:p>
    <w:p w14:paraId="16A4A55F" w14:textId="77777777" w:rsidR="00502BB2" w:rsidRDefault="0069123E">
      <w:pPr>
        <w:pStyle w:val="ListParagraph"/>
        <w:numPr>
          <w:ilvl w:val="0"/>
          <w:numId w:val="5"/>
        </w:numPr>
        <w:spacing w:line="360" w:lineRule="auto"/>
        <w:jc w:val="both"/>
        <w:rPr>
          <w:rFonts w:asciiTheme="minorBidi" w:hAnsiTheme="minorBidi"/>
          <w:sz w:val="24"/>
          <w:szCs w:val="24"/>
        </w:rPr>
      </w:pPr>
      <w:r>
        <w:rPr>
          <w:rFonts w:asciiTheme="minorBidi" w:hAnsiTheme="minorBidi"/>
          <w:sz w:val="24"/>
          <w:szCs w:val="24"/>
        </w:rPr>
        <w:t>L’évaluation neurologique rapide permet d’identifier les urgences neurologiques telles que l’engagement cérébral ou les syndromes d’accident vasculaire cérébral (AVC). Elle comprend l’évaluation du niveau de conscience, par la réactivité pupillaire à la lumière, des réflexes du tronc cérébral et le suivit de la fonction motrice (</w:t>
      </w:r>
      <w:r>
        <w:rPr>
          <w:rFonts w:asciiTheme="minorBidi" w:hAnsiTheme="minorBidi"/>
          <w:b/>
          <w:bCs/>
          <w:sz w:val="24"/>
          <w:szCs w:val="24"/>
        </w:rPr>
        <w:t>figure 58, annexe 1)</w:t>
      </w:r>
    </w:p>
    <w:p w14:paraId="4568F631" w14:textId="77777777" w:rsidR="00502BB2" w:rsidRDefault="0069123E">
      <w:pPr>
        <w:pStyle w:val="ListParagraph"/>
        <w:numPr>
          <w:ilvl w:val="0"/>
          <w:numId w:val="5"/>
        </w:numPr>
        <w:spacing w:line="360" w:lineRule="auto"/>
        <w:jc w:val="both"/>
        <w:rPr>
          <w:rFonts w:asciiTheme="minorBidi" w:hAnsiTheme="minorBidi"/>
          <w:sz w:val="24"/>
          <w:szCs w:val="24"/>
        </w:rPr>
      </w:pPr>
      <w:r>
        <w:rPr>
          <w:rFonts w:asciiTheme="minorBidi" w:hAnsiTheme="minorBidi"/>
          <w:sz w:val="24"/>
          <w:szCs w:val="24"/>
        </w:rPr>
        <w:t xml:space="preserve">Les scores cliniques les plus utilisés sont le score de Glasgow (GCS), le score FOUR (Full </w:t>
      </w:r>
      <w:proofErr w:type="spellStart"/>
      <w:r>
        <w:rPr>
          <w:rFonts w:asciiTheme="minorBidi" w:hAnsiTheme="minorBidi"/>
          <w:sz w:val="24"/>
          <w:szCs w:val="24"/>
        </w:rPr>
        <w:t>Outline</w:t>
      </w:r>
      <w:proofErr w:type="spellEnd"/>
      <w:r>
        <w:rPr>
          <w:rFonts w:asciiTheme="minorBidi" w:hAnsiTheme="minorBidi"/>
          <w:sz w:val="24"/>
          <w:szCs w:val="24"/>
        </w:rPr>
        <w:t xml:space="preserve"> of </w:t>
      </w:r>
      <w:proofErr w:type="spellStart"/>
      <w:r>
        <w:rPr>
          <w:rFonts w:asciiTheme="minorBidi" w:hAnsiTheme="minorBidi"/>
          <w:sz w:val="24"/>
          <w:szCs w:val="24"/>
        </w:rPr>
        <w:t>UnResponsiveness</w:t>
      </w:r>
      <w:proofErr w:type="spellEnd"/>
      <w:r>
        <w:rPr>
          <w:rFonts w:asciiTheme="minorBidi" w:hAnsiTheme="minorBidi"/>
          <w:sz w:val="24"/>
          <w:szCs w:val="24"/>
        </w:rPr>
        <w:t xml:space="preserve">) et la Coma </w:t>
      </w:r>
      <w:proofErr w:type="spellStart"/>
      <w:r>
        <w:rPr>
          <w:rFonts w:asciiTheme="minorBidi" w:hAnsiTheme="minorBidi"/>
          <w:sz w:val="24"/>
          <w:szCs w:val="24"/>
        </w:rPr>
        <w:t>Recovery</w:t>
      </w:r>
      <w:proofErr w:type="spellEnd"/>
      <w:r>
        <w:rPr>
          <w:rFonts w:asciiTheme="minorBidi" w:hAnsiTheme="minorBidi"/>
          <w:sz w:val="24"/>
          <w:szCs w:val="24"/>
        </w:rPr>
        <w:t xml:space="preserve"> Scale-</w:t>
      </w:r>
      <w:proofErr w:type="spellStart"/>
      <w:r>
        <w:rPr>
          <w:rFonts w:asciiTheme="minorBidi" w:hAnsiTheme="minorBidi"/>
          <w:sz w:val="24"/>
          <w:szCs w:val="24"/>
        </w:rPr>
        <w:t>Revised</w:t>
      </w:r>
      <w:proofErr w:type="spellEnd"/>
      <w:r>
        <w:rPr>
          <w:rFonts w:asciiTheme="minorBidi" w:hAnsiTheme="minorBidi"/>
          <w:sz w:val="24"/>
          <w:szCs w:val="24"/>
        </w:rPr>
        <w:t xml:space="preserve"> (CRS-R), </w:t>
      </w:r>
      <w:r>
        <w:rPr>
          <w:rFonts w:asciiTheme="minorBidi" w:hAnsiTheme="minorBidi"/>
          <w:sz w:val="24"/>
          <w:szCs w:val="24"/>
        </w:rPr>
        <w:lastRenderedPageBreak/>
        <w:t>permettant de mesurer les différents niveaux de conscience à partir de la réponse oculaire, motrice et respiratoire… (</w:t>
      </w:r>
      <w:r>
        <w:rPr>
          <w:rFonts w:asciiTheme="minorBidi" w:hAnsiTheme="minorBidi"/>
          <w:b/>
          <w:bCs/>
          <w:sz w:val="24"/>
          <w:szCs w:val="24"/>
        </w:rPr>
        <w:t>tableaux 2 et 3</w:t>
      </w:r>
      <w:r>
        <w:rPr>
          <w:rFonts w:asciiTheme="minorBidi" w:hAnsiTheme="minorBidi"/>
          <w:sz w:val="24"/>
          <w:szCs w:val="24"/>
        </w:rPr>
        <w:t>) (</w:t>
      </w:r>
      <w:r>
        <w:rPr>
          <w:rFonts w:asciiTheme="minorBidi" w:hAnsiTheme="minorBidi"/>
          <w:b/>
          <w:bCs/>
          <w:sz w:val="24"/>
          <w:szCs w:val="24"/>
        </w:rPr>
        <w:t>figure 58, annexe 1)</w:t>
      </w:r>
      <w:r>
        <w:rPr>
          <w:rFonts w:asciiTheme="minorBidi" w:hAnsiTheme="minorBidi"/>
          <w:sz w:val="24"/>
          <w:szCs w:val="24"/>
        </w:rPr>
        <w:t>.</w:t>
      </w:r>
      <w:sdt>
        <w:sdtPr>
          <w:rPr>
            <w:rFonts w:asciiTheme="minorBidi" w:hAnsiTheme="minorBidi"/>
            <w:sz w:val="24"/>
            <w:szCs w:val="24"/>
          </w:rPr>
          <w:id w:val="-653681176"/>
        </w:sdtPr>
        <w:sdtEndPr>
          <w:rPr>
            <w:b/>
            <w:bCs/>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40213078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p>
    <w:p w14:paraId="66B996FB" w14:textId="36AEF391" w:rsidR="00502BB2" w:rsidRDefault="0069123E">
      <w:pPr>
        <w:pStyle w:val="Caption"/>
        <w:keepNext/>
        <w:rPr>
          <w:b/>
          <w:bCs/>
        </w:rPr>
      </w:pPr>
      <w:bookmarkStart w:id="20" w:name="_Toc226577297"/>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2</w:t>
      </w:r>
      <w:r>
        <w:rPr>
          <w:rFonts w:asciiTheme="minorBidi" w:hAnsiTheme="minorBidi"/>
          <w:b/>
          <w:bCs/>
          <w:sz w:val="24"/>
          <w:szCs w:val="24"/>
        </w:rPr>
        <w:fldChar w:fldCharType="end"/>
      </w:r>
      <w:r>
        <w:rPr>
          <w:rFonts w:asciiTheme="minorBidi" w:hAnsiTheme="minorBidi"/>
          <w:b/>
          <w:bCs/>
          <w:sz w:val="24"/>
          <w:szCs w:val="24"/>
        </w:rPr>
        <w:t> :</w:t>
      </w:r>
      <w:r>
        <w:t xml:space="preserve"> </w:t>
      </w:r>
      <w:r>
        <w:rPr>
          <w:rFonts w:asciiTheme="minorBidi" w:hAnsiTheme="minorBidi"/>
          <w:sz w:val="24"/>
          <w:szCs w:val="24"/>
        </w:rPr>
        <w:t xml:space="preserve">Score de Glasgow. </w:t>
      </w:r>
      <w:sdt>
        <w:sdtPr>
          <w:rPr>
            <w:rFonts w:asciiTheme="minorBidi" w:hAnsiTheme="minorBidi"/>
            <w:b/>
            <w:bCs/>
            <w:sz w:val="24"/>
            <w:szCs w:val="24"/>
          </w:rPr>
          <w:id w:val="175054375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(Mathur, 2021)</w:t>
          </w:r>
          <w:r>
            <w:rPr>
              <w:rFonts w:asciiTheme="minorBidi" w:hAnsiTheme="minorBidi"/>
              <w:b/>
              <w:bCs/>
              <w:sz w:val="24"/>
              <w:szCs w:val="24"/>
            </w:rPr>
            <w:fldChar w:fldCharType="end"/>
          </w:r>
        </w:sdtContent>
      </w:sdt>
      <w:bookmarkEnd w:id="20"/>
    </w:p>
    <w:tbl>
      <w:tblPr>
        <w:tblStyle w:val="PlainTable51"/>
        <w:tblW w:w="0" w:type="auto"/>
        <w:jc w:val="center"/>
        <w:shd w:val="clear" w:color="auto" w:fill="F2F2F2" w:themeFill="background1" w:themeFillShade="F2"/>
        <w:tblLook w:val="04A0" w:firstRow="1" w:lastRow="0" w:firstColumn="1" w:lastColumn="0" w:noHBand="0" w:noVBand="1"/>
      </w:tblPr>
      <w:tblGrid>
        <w:gridCol w:w="2671"/>
        <w:gridCol w:w="4699"/>
      </w:tblGrid>
      <w:tr w:rsidR="00502BB2" w14:paraId="2767DDC0" w14:textId="77777777" w:rsidTr="00502BB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F2F2F2" w:themeFill="background1" w:themeFillShade="F2"/>
          </w:tcPr>
          <w:p w14:paraId="78E20B93"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Domaine évalué</w:t>
            </w:r>
          </w:p>
        </w:tc>
        <w:tc>
          <w:tcPr>
            <w:tcW w:w="0" w:type="auto"/>
            <w:shd w:val="clear" w:color="auto" w:fill="F2F2F2" w:themeFill="background1" w:themeFillShade="F2"/>
          </w:tcPr>
          <w:p w14:paraId="12E2F1ED" w14:textId="77777777" w:rsidR="00502BB2" w:rsidRDefault="0069123E">
            <w:pPr>
              <w:pStyle w:val="ListParagraph"/>
              <w:spacing w:after="0" w:line="360" w:lineRule="auto"/>
              <w:ind w:left="360"/>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Réponse clinique</w:t>
            </w:r>
          </w:p>
        </w:tc>
      </w:tr>
      <w:tr w:rsidR="00502BB2" w14:paraId="6A192E99"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6B2E19F"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Ouverture des yeux</w:t>
            </w:r>
          </w:p>
        </w:tc>
        <w:tc>
          <w:tcPr>
            <w:tcW w:w="0" w:type="auto"/>
            <w:shd w:val="clear" w:color="auto" w:fill="F2F2F2" w:themeFill="background1" w:themeFillShade="F2"/>
          </w:tcPr>
          <w:p w14:paraId="2786668E"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Ouverture spontanée</w:t>
            </w:r>
          </w:p>
        </w:tc>
      </w:tr>
      <w:tr w:rsidR="00502BB2" w14:paraId="2447DE80"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31D9BB1"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01EAB5AA"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Ouverture à la demande verbale</w:t>
            </w:r>
          </w:p>
        </w:tc>
      </w:tr>
      <w:tr w:rsidR="00502BB2" w14:paraId="380070A4"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42FA0A0"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62321FF2"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Ouverture à la stimulation douloureuse</w:t>
            </w:r>
          </w:p>
        </w:tc>
      </w:tr>
      <w:tr w:rsidR="00502BB2" w14:paraId="400B525B"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3EE025F"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5CDDB23A"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Aucune ouverture des yeux</w:t>
            </w:r>
          </w:p>
        </w:tc>
      </w:tr>
      <w:tr w:rsidR="00502BB2" w14:paraId="6FED6BD6"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D634D7F"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Réponse verbale</w:t>
            </w:r>
          </w:p>
        </w:tc>
        <w:tc>
          <w:tcPr>
            <w:tcW w:w="0" w:type="auto"/>
            <w:shd w:val="clear" w:color="auto" w:fill="F2F2F2" w:themeFill="background1" w:themeFillShade="F2"/>
          </w:tcPr>
          <w:p w14:paraId="35A0ABD9"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Orientée (temps, lieu, personne)</w:t>
            </w:r>
          </w:p>
        </w:tc>
      </w:tr>
      <w:tr w:rsidR="00502BB2" w14:paraId="23D07FB5"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24EDFF1"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26F1C2F2"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Confuse</w:t>
            </w:r>
          </w:p>
        </w:tc>
      </w:tr>
      <w:tr w:rsidR="00502BB2" w14:paraId="3BA265B7"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0BFF94E"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2FCBE1CE"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Mots inappropriés</w:t>
            </w:r>
          </w:p>
        </w:tc>
      </w:tr>
      <w:tr w:rsidR="00502BB2" w14:paraId="4760F4CA"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024FB10"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05C09000"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Sons incompréhensibles</w:t>
            </w:r>
          </w:p>
        </w:tc>
      </w:tr>
      <w:tr w:rsidR="00502BB2" w14:paraId="14EA3552"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D9BCA56"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0CAE4719"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Aucune réponse verbale</w:t>
            </w:r>
          </w:p>
        </w:tc>
      </w:tr>
      <w:tr w:rsidR="00502BB2" w14:paraId="44EAB12A"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80C36D8"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Réponse motrice</w:t>
            </w:r>
          </w:p>
        </w:tc>
        <w:tc>
          <w:tcPr>
            <w:tcW w:w="0" w:type="auto"/>
            <w:shd w:val="clear" w:color="auto" w:fill="F2F2F2" w:themeFill="background1" w:themeFillShade="F2"/>
          </w:tcPr>
          <w:p w14:paraId="07A0F52F"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Obéit aux ordres</w:t>
            </w:r>
          </w:p>
        </w:tc>
      </w:tr>
      <w:tr w:rsidR="00502BB2" w14:paraId="1863FA80"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A9B6EB9"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37F3A093"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Localise la douleur</w:t>
            </w:r>
          </w:p>
        </w:tc>
      </w:tr>
      <w:tr w:rsidR="00502BB2" w14:paraId="365F7F90"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E8DC4D6"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2FC51265"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Retrait à la douleur</w:t>
            </w:r>
          </w:p>
        </w:tc>
      </w:tr>
      <w:tr w:rsidR="00502BB2" w14:paraId="1683F967"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8AD8D1C"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050B1DD4"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Flexion anormale (décortication)</w:t>
            </w:r>
          </w:p>
        </w:tc>
      </w:tr>
      <w:tr w:rsidR="00502BB2" w14:paraId="2693DD2A"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0039E69"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05E1129E"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Extension anormale (décérébration)</w:t>
            </w:r>
          </w:p>
        </w:tc>
      </w:tr>
      <w:tr w:rsidR="00502BB2" w14:paraId="61A27CDE"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1985CB7"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1D29A4C3"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Aucune réponse motrice</w:t>
            </w:r>
          </w:p>
        </w:tc>
      </w:tr>
      <w:tr w:rsidR="00502BB2" w14:paraId="77EF127F"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F2F2F2" w:themeFill="background1" w:themeFillShade="F2"/>
          </w:tcPr>
          <w:p w14:paraId="319D3B0C"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Score total : 3 (minimum) a 15 (élevé)</w:t>
            </w:r>
          </w:p>
        </w:tc>
      </w:tr>
    </w:tbl>
    <w:p w14:paraId="29A59BDB" w14:textId="77777777" w:rsidR="00502BB2" w:rsidRDefault="00502BB2">
      <w:pPr>
        <w:spacing w:line="360" w:lineRule="auto"/>
        <w:rPr>
          <w:rFonts w:asciiTheme="minorBidi" w:hAnsiTheme="minorBidi"/>
          <w:sz w:val="24"/>
          <w:szCs w:val="24"/>
        </w:rPr>
      </w:pPr>
    </w:p>
    <w:p w14:paraId="5158F501" w14:textId="6E95B877" w:rsidR="00502BB2" w:rsidRDefault="0069123E">
      <w:pPr>
        <w:pStyle w:val="Caption"/>
        <w:keepNext/>
        <w:rPr>
          <w:b/>
          <w:bCs/>
        </w:rPr>
      </w:pPr>
      <w:bookmarkStart w:id="21" w:name="_Toc226577298"/>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3</w:t>
      </w:r>
      <w:r>
        <w:rPr>
          <w:rFonts w:asciiTheme="minorBidi" w:hAnsiTheme="minorBidi"/>
          <w:b/>
          <w:bCs/>
          <w:sz w:val="24"/>
          <w:szCs w:val="24"/>
        </w:rPr>
        <w:fldChar w:fldCharType="end"/>
      </w:r>
      <w:r>
        <w:t xml:space="preserve">  </w:t>
      </w:r>
      <w:r>
        <w:rPr>
          <w:rFonts w:asciiTheme="minorBidi" w:hAnsiTheme="minorBidi"/>
          <w:sz w:val="24"/>
          <w:szCs w:val="24"/>
        </w:rPr>
        <w:t>: Score</w:t>
      </w:r>
      <w:r>
        <w:rPr>
          <w:rFonts w:asciiTheme="minorBidi" w:hAnsiTheme="minorBidi"/>
          <w:b/>
          <w:bCs/>
          <w:sz w:val="24"/>
          <w:szCs w:val="24"/>
        </w:rPr>
        <w:t xml:space="preserve"> </w:t>
      </w:r>
      <w:r>
        <w:rPr>
          <w:rFonts w:asciiTheme="minorBidi" w:hAnsiTheme="minorBidi"/>
          <w:sz w:val="24"/>
          <w:szCs w:val="24"/>
        </w:rPr>
        <w:t xml:space="preserve">FOUR. </w:t>
      </w:r>
      <w:sdt>
        <w:sdtPr>
          <w:rPr>
            <w:rFonts w:asciiTheme="minorBidi" w:hAnsiTheme="minorBidi"/>
            <w:b/>
            <w:bCs/>
            <w:sz w:val="24"/>
            <w:szCs w:val="24"/>
          </w:rPr>
          <w:id w:val="196492228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(Mathur, 2021)</w:t>
          </w:r>
          <w:r>
            <w:rPr>
              <w:rFonts w:asciiTheme="minorBidi" w:hAnsiTheme="minorBidi"/>
              <w:b/>
              <w:bCs/>
              <w:sz w:val="24"/>
              <w:szCs w:val="24"/>
            </w:rPr>
            <w:fldChar w:fldCharType="end"/>
          </w:r>
        </w:sdtContent>
      </w:sdt>
      <w:bookmarkEnd w:id="21"/>
    </w:p>
    <w:tbl>
      <w:tblPr>
        <w:tblStyle w:val="PlainTable51"/>
        <w:tblW w:w="0" w:type="auto"/>
        <w:jc w:val="center"/>
        <w:shd w:val="clear" w:color="auto" w:fill="F2F2F2" w:themeFill="background1" w:themeFillShade="F2"/>
        <w:tblLook w:val="04A0" w:firstRow="1" w:lastRow="0" w:firstColumn="1" w:lastColumn="0" w:noHBand="0" w:noVBand="1"/>
      </w:tblPr>
      <w:tblGrid>
        <w:gridCol w:w="2798"/>
        <w:gridCol w:w="6608"/>
      </w:tblGrid>
      <w:tr w:rsidR="00502BB2" w14:paraId="2D2540FF" w14:textId="77777777" w:rsidTr="00502BB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F2F2F2" w:themeFill="background1" w:themeFillShade="F2"/>
          </w:tcPr>
          <w:p w14:paraId="5CBBF609"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Domaine évalué</w:t>
            </w:r>
          </w:p>
        </w:tc>
        <w:tc>
          <w:tcPr>
            <w:tcW w:w="0" w:type="auto"/>
            <w:shd w:val="clear" w:color="auto" w:fill="F2F2F2" w:themeFill="background1" w:themeFillShade="F2"/>
          </w:tcPr>
          <w:p w14:paraId="31DAACD5" w14:textId="77777777" w:rsidR="00502BB2" w:rsidRDefault="0069123E">
            <w:pPr>
              <w:pStyle w:val="ListParagraph"/>
              <w:spacing w:after="0" w:line="360" w:lineRule="auto"/>
              <w:ind w:left="360"/>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Réponse clinique</w:t>
            </w:r>
          </w:p>
        </w:tc>
      </w:tr>
      <w:tr w:rsidR="00502BB2" w14:paraId="2A1E5116"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93B3368"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Réponse oculaire</w:t>
            </w:r>
          </w:p>
        </w:tc>
        <w:tc>
          <w:tcPr>
            <w:tcW w:w="0" w:type="auto"/>
            <w:shd w:val="clear" w:color="auto" w:fill="F2F2F2" w:themeFill="background1" w:themeFillShade="F2"/>
          </w:tcPr>
          <w:p w14:paraId="3F2FDC2C"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Paupières ouvertes, avec poursuite visuelle ou clignement à la commande</w:t>
            </w:r>
          </w:p>
        </w:tc>
      </w:tr>
      <w:tr w:rsidR="00502BB2" w14:paraId="6A4DA640"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8198F4F"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379BAD21"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Paupières ouvertes spontanément, sans poursuite ni clignement à la commande</w:t>
            </w:r>
          </w:p>
        </w:tc>
      </w:tr>
      <w:tr w:rsidR="00502BB2" w14:paraId="1BDD0799"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FEFC83B"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6CE1573F"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Paupières fermées, ouverture à la voix forte</w:t>
            </w:r>
          </w:p>
        </w:tc>
      </w:tr>
      <w:tr w:rsidR="00502BB2" w14:paraId="46490DC6"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97927DE"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07FB145E"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Paupières fermées, ouverture à la douleur</w:t>
            </w:r>
          </w:p>
        </w:tc>
      </w:tr>
      <w:tr w:rsidR="00502BB2" w14:paraId="09B82036"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BA24489"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1B2C3348"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Aucune ouverture des paupières, même à la douleur</w:t>
            </w:r>
          </w:p>
        </w:tc>
      </w:tr>
      <w:tr w:rsidR="00502BB2" w14:paraId="719D2D74"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7B85CEE"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Réponse motrice</w:t>
            </w:r>
          </w:p>
        </w:tc>
        <w:tc>
          <w:tcPr>
            <w:tcW w:w="0" w:type="auto"/>
            <w:shd w:val="clear" w:color="auto" w:fill="F2F2F2" w:themeFill="background1" w:themeFillShade="F2"/>
          </w:tcPr>
          <w:p w14:paraId="76D201D5"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Exécute un signe à la commande (pouce levé, poing, signe de paix)</w:t>
            </w:r>
          </w:p>
        </w:tc>
      </w:tr>
      <w:tr w:rsidR="00502BB2" w14:paraId="0222EEE0"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5E5BCB1"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4984AE63"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Localise la douleur</w:t>
            </w:r>
          </w:p>
        </w:tc>
      </w:tr>
      <w:tr w:rsidR="00502BB2" w14:paraId="4440A829"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132B1DD"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60DE1E63"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Réponse en flexion à la douleur</w:t>
            </w:r>
          </w:p>
        </w:tc>
      </w:tr>
      <w:tr w:rsidR="00502BB2" w14:paraId="694BDA73"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F8011D2"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6F3898D3"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Réponse en extension à la douleur</w:t>
            </w:r>
          </w:p>
        </w:tc>
      </w:tr>
      <w:tr w:rsidR="00502BB2" w14:paraId="0B99F981"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E085B1A"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419BA872"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Aucune réponse à la douleur ou myoclonies généralisées</w:t>
            </w:r>
          </w:p>
        </w:tc>
      </w:tr>
      <w:tr w:rsidR="00502BB2" w14:paraId="12DE3DF5"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D058668"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Réflexes du tronc cérébral</w:t>
            </w:r>
          </w:p>
        </w:tc>
        <w:tc>
          <w:tcPr>
            <w:tcW w:w="0" w:type="auto"/>
            <w:shd w:val="clear" w:color="auto" w:fill="F2F2F2" w:themeFill="background1" w:themeFillShade="F2"/>
          </w:tcPr>
          <w:p w14:paraId="480214A1"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Réflexes photomoteur et cornéen présents</w:t>
            </w:r>
          </w:p>
        </w:tc>
      </w:tr>
      <w:tr w:rsidR="00502BB2" w14:paraId="13F4823B"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2FB8ED5"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37A36F60"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Une pupille large et fixe</w:t>
            </w:r>
          </w:p>
        </w:tc>
      </w:tr>
      <w:tr w:rsidR="00502BB2" w14:paraId="00679DAE"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634C86F"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51FA0A3D"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Absence soit du réflexe photomoteur soit du réflexe cornéen</w:t>
            </w:r>
          </w:p>
        </w:tc>
      </w:tr>
      <w:tr w:rsidR="00502BB2" w14:paraId="46F5B3B3"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218D5AF"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2DCA5A44"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Absence des réflexes photomoteur et cornéen</w:t>
            </w:r>
          </w:p>
        </w:tc>
      </w:tr>
      <w:tr w:rsidR="00502BB2" w14:paraId="19AA8A64"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AFBC16D"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073865EB"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Absence des réflexes pupillaire, cornéen et de toux</w:t>
            </w:r>
          </w:p>
        </w:tc>
      </w:tr>
      <w:tr w:rsidR="00502BB2" w14:paraId="3FA9CF98"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E8BE3A3"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Respiration</w:t>
            </w:r>
          </w:p>
        </w:tc>
        <w:tc>
          <w:tcPr>
            <w:tcW w:w="0" w:type="auto"/>
            <w:shd w:val="clear" w:color="auto" w:fill="F2F2F2" w:themeFill="background1" w:themeFillShade="F2"/>
          </w:tcPr>
          <w:p w14:paraId="17A8BEBB"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Respiration régulière</w:t>
            </w:r>
          </w:p>
        </w:tc>
      </w:tr>
      <w:tr w:rsidR="00502BB2" w14:paraId="29F6AC86"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08DD4E1"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0C2CB3B4"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Respiration de Cheyne–Stokes</w:t>
            </w:r>
          </w:p>
        </w:tc>
      </w:tr>
      <w:tr w:rsidR="00502BB2" w14:paraId="49477B24"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74569FE"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3D0022E5"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Respiration irrégulière</w:t>
            </w:r>
          </w:p>
        </w:tc>
      </w:tr>
      <w:tr w:rsidR="00502BB2" w14:paraId="76BFB9FD"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64BE6A6"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38DC4E97"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Déclenchement du ventilateur ou respiration au-dessus du rythme imposé</w:t>
            </w:r>
          </w:p>
        </w:tc>
      </w:tr>
      <w:tr w:rsidR="00502BB2" w14:paraId="765D5182"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44F1586" w14:textId="77777777" w:rsidR="00502BB2" w:rsidRDefault="00502BB2">
            <w:pPr>
              <w:pStyle w:val="ListParagraph"/>
              <w:spacing w:after="0" w:line="360" w:lineRule="auto"/>
              <w:ind w:left="360"/>
              <w:rPr>
                <w:rFonts w:asciiTheme="minorBidi" w:hAnsiTheme="minorBidi"/>
                <w:i w:val="0"/>
                <w:iCs w:val="0"/>
                <w:sz w:val="24"/>
                <w:szCs w:val="24"/>
              </w:rPr>
            </w:pPr>
          </w:p>
        </w:tc>
        <w:tc>
          <w:tcPr>
            <w:tcW w:w="0" w:type="auto"/>
            <w:shd w:val="clear" w:color="auto" w:fill="F2F2F2" w:themeFill="background1" w:themeFillShade="F2"/>
          </w:tcPr>
          <w:p w14:paraId="58F97DD6" w14:textId="77777777" w:rsidR="00502BB2" w:rsidRDefault="0069123E">
            <w:pPr>
              <w:pStyle w:val="ListParagraph"/>
              <w:spacing w:after="0" w:line="360" w:lineRule="auto"/>
              <w:ind w:left="360"/>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Apnée ou respiration uniquement au rythme imposé par le ventilateur</w:t>
            </w:r>
          </w:p>
        </w:tc>
      </w:tr>
      <w:tr w:rsidR="00502BB2" w14:paraId="0772016C"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gridSpan w:val="2"/>
            <w:shd w:val="clear" w:color="auto" w:fill="F2F2F2" w:themeFill="background1" w:themeFillShade="F2"/>
          </w:tcPr>
          <w:p w14:paraId="750CCF1A" w14:textId="77777777" w:rsidR="00502BB2" w:rsidRDefault="0069123E">
            <w:pPr>
              <w:pStyle w:val="ListParagraph"/>
              <w:spacing w:after="0" w:line="360" w:lineRule="auto"/>
              <w:ind w:left="360"/>
              <w:rPr>
                <w:rFonts w:asciiTheme="minorBidi" w:hAnsiTheme="minorBidi"/>
                <w:i w:val="0"/>
                <w:iCs w:val="0"/>
                <w:sz w:val="24"/>
                <w:szCs w:val="24"/>
              </w:rPr>
            </w:pPr>
            <w:r>
              <w:rPr>
                <w:rFonts w:asciiTheme="minorBidi" w:hAnsiTheme="minorBidi"/>
                <w:sz w:val="24"/>
                <w:szCs w:val="24"/>
              </w:rPr>
              <w:t>Score total : 0 (minimum) a 16 (élevé)</w:t>
            </w:r>
          </w:p>
        </w:tc>
      </w:tr>
    </w:tbl>
    <w:p w14:paraId="3BAD5225" w14:textId="77777777" w:rsidR="00502BB2" w:rsidRDefault="00502BB2">
      <w:pPr>
        <w:pStyle w:val="ListParagraph"/>
        <w:spacing w:line="360" w:lineRule="auto"/>
        <w:ind w:left="360"/>
        <w:rPr>
          <w:rFonts w:asciiTheme="minorBidi" w:hAnsiTheme="minorBidi"/>
          <w:sz w:val="24"/>
          <w:szCs w:val="24"/>
        </w:rPr>
      </w:pPr>
    </w:p>
    <w:p w14:paraId="03351AFB"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Ces méthodes peuvent être complétées par des techniques telles que l’électroencéphalographie (EEG) et l’IRM fonctionnelle (</w:t>
      </w:r>
      <w:proofErr w:type="spellStart"/>
      <w:r>
        <w:rPr>
          <w:rFonts w:asciiTheme="minorBidi" w:hAnsiTheme="minorBidi"/>
          <w:sz w:val="24"/>
          <w:szCs w:val="24"/>
        </w:rPr>
        <w:t>fMRI</w:t>
      </w:r>
      <w:proofErr w:type="spellEnd"/>
      <w:r>
        <w:rPr>
          <w:rFonts w:asciiTheme="minorBidi" w:hAnsiTheme="minorBidi"/>
          <w:sz w:val="24"/>
          <w:szCs w:val="24"/>
        </w:rPr>
        <w:t>), permettant d’évaluer l’activité cognitive et motrice cérébrale à travers l’analyse des réponses neuronales et des microcircuits en réponse à des stimulations verbales (</w:t>
      </w:r>
      <w:r>
        <w:rPr>
          <w:rFonts w:asciiTheme="minorBidi" w:hAnsiTheme="minorBidi"/>
          <w:b/>
          <w:bCs/>
          <w:sz w:val="24"/>
          <w:szCs w:val="24"/>
        </w:rPr>
        <w:t>figure 05</w:t>
      </w:r>
      <w:r>
        <w:rPr>
          <w:rFonts w:asciiTheme="minorBidi" w:hAnsiTheme="minorBidi"/>
          <w:sz w:val="24"/>
          <w:szCs w:val="24"/>
        </w:rPr>
        <w:t>) (</w:t>
      </w:r>
      <w:r>
        <w:rPr>
          <w:rFonts w:asciiTheme="minorBidi" w:hAnsiTheme="minorBidi"/>
          <w:b/>
          <w:bCs/>
          <w:sz w:val="24"/>
          <w:szCs w:val="24"/>
        </w:rPr>
        <w:t>figure 58, annexe 1</w:t>
      </w:r>
      <w:r>
        <w:rPr>
          <w:rFonts w:asciiTheme="minorBidi" w:hAnsiTheme="minorBidi"/>
          <w:sz w:val="24"/>
          <w:szCs w:val="24"/>
        </w:rPr>
        <w:t>).</w:t>
      </w:r>
      <w:sdt>
        <w:sdtPr>
          <w:rPr>
            <w:rFonts w:asciiTheme="minorBidi" w:hAnsiTheme="minorBidi"/>
            <w:b/>
            <w:bCs/>
            <w:sz w:val="24"/>
            <w:szCs w:val="24"/>
          </w:rPr>
          <w:id w:val="169233843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Mat21 \l 1036 </w:instrText>
          </w:r>
          <w:r>
            <w:rPr>
              <w:rFonts w:asciiTheme="minorBidi" w:hAnsiTheme="minorBidi"/>
              <w:b/>
              <w:bCs/>
              <w:sz w:val="24"/>
              <w:szCs w:val="24"/>
            </w:rPr>
            <w:fldChar w:fldCharType="separate"/>
          </w:r>
          <w:r>
            <w:rPr>
              <w:rFonts w:asciiTheme="minorBidi" w:hAnsiTheme="minorBidi"/>
              <w:b/>
              <w:bCs/>
              <w:sz w:val="24"/>
              <w:szCs w:val="24"/>
            </w:rPr>
            <w:t xml:space="preserve"> (Mathur,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98453482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r>
        <w:rPr>
          <w:rFonts w:asciiTheme="minorBidi" w:hAnsiTheme="minorBidi"/>
          <w:b/>
          <w:bCs/>
          <w:sz w:val="24"/>
          <w:szCs w:val="24"/>
        </w:rPr>
        <w:t>.</w:t>
      </w:r>
    </w:p>
    <w:p w14:paraId="2758B1E1" w14:textId="77777777" w:rsidR="00502BB2" w:rsidRDefault="00502BB2">
      <w:pPr>
        <w:spacing w:line="360" w:lineRule="auto"/>
        <w:rPr>
          <w:rFonts w:asciiTheme="minorBidi" w:hAnsiTheme="minorBidi"/>
          <w:sz w:val="24"/>
          <w:szCs w:val="24"/>
        </w:rPr>
      </w:pPr>
    </w:p>
    <w:p w14:paraId="10ACBC0A"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6621694A" wp14:editId="2AD13C63">
            <wp:extent cx="4768850" cy="2676525"/>
            <wp:effectExtent l="0" t="0" r="0" b="0"/>
            <wp:docPr id="829097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097293" name="Picture 1"/>
                    <pic:cNvPicPr>
                      <a:picLocks noChangeAspect="1"/>
                    </pic:cNvPicPr>
                  </pic:nvPicPr>
                  <pic:blipFill>
                    <a:blip r:embed="rId27"/>
                    <a:stretch>
                      <a:fillRect/>
                    </a:stretch>
                  </pic:blipFill>
                  <pic:spPr>
                    <a:xfrm>
                      <a:off x="0" y="0"/>
                      <a:ext cx="4788053" cy="2687263"/>
                    </a:xfrm>
                    <a:prstGeom prst="rect">
                      <a:avLst/>
                    </a:prstGeom>
                  </pic:spPr>
                </pic:pic>
              </a:graphicData>
            </a:graphic>
          </wp:inline>
        </w:drawing>
      </w:r>
    </w:p>
    <w:p w14:paraId="4DB6980F" w14:textId="1D0D1D22" w:rsidR="00502BB2" w:rsidRDefault="0069123E">
      <w:pPr>
        <w:pStyle w:val="Caption"/>
        <w:jc w:val="center"/>
        <w:rPr>
          <w:rFonts w:asciiTheme="minorBidi" w:hAnsiTheme="minorBidi"/>
          <w:b/>
          <w:bCs/>
          <w:sz w:val="24"/>
          <w:szCs w:val="24"/>
        </w:rPr>
      </w:pPr>
      <w:bookmarkStart w:id="22" w:name="_Toc225723009"/>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w:t>
      </w:r>
      <w:r>
        <w:rPr>
          <w:rFonts w:asciiTheme="minorBidi" w:hAnsiTheme="minorBidi"/>
          <w:b/>
          <w:bCs/>
          <w:sz w:val="24"/>
          <w:szCs w:val="24"/>
        </w:rPr>
        <w:fldChar w:fldCharType="end"/>
      </w:r>
      <w:r>
        <w:rPr>
          <w:rFonts w:asciiTheme="minorBidi" w:hAnsiTheme="minorBidi"/>
          <w:b/>
          <w:bCs/>
          <w:sz w:val="24"/>
          <w:szCs w:val="24"/>
        </w:rPr>
        <w:t xml:space="preserve"> : </w:t>
      </w:r>
      <w:r>
        <w:rPr>
          <w:rFonts w:asciiTheme="minorBidi" w:hAnsiTheme="minorBidi"/>
          <w:sz w:val="24"/>
          <w:szCs w:val="24"/>
        </w:rPr>
        <w:t>Figure du désordre neurologique démontré par MRI er EEG.</w:t>
      </w:r>
      <w:r>
        <w:rPr>
          <w:rFonts w:asciiTheme="minorBidi" w:hAnsiTheme="minorBidi"/>
          <w:b/>
          <w:bCs/>
          <w:sz w:val="24"/>
          <w:szCs w:val="24"/>
        </w:rPr>
        <w:t xml:space="preserve"> </w:t>
      </w:r>
      <w:sdt>
        <w:sdtPr>
          <w:rPr>
            <w:rFonts w:asciiTheme="minorBidi" w:hAnsiTheme="minorBidi"/>
            <w:b/>
            <w:bCs/>
            <w:sz w:val="24"/>
            <w:szCs w:val="24"/>
          </w:rPr>
          <w:id w:val="-139719488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Kon23 \l 1036 </w:instrText>
          </w:r>
          <w:r>
            <w:rPr>
              <w:rFonts w:asciiTheme="minorBidi" w:hAnsiTheme="minorBidi"/>
              <w:b/>
              <w:bCs/>
              <w:sz w:val="24"/>
              <w:szCs w:val="24"/>
            </w:rPr>
            <w:fldChar w:fldCharType="separate"/>
          </w:r>
          <w:r>
            <w:rPr>
              <w:rFonts w:asciiTheme="minorBidi" w:hAnsiTheme="minorBidi"/>
              <w:b/>
              <w:bCs/>
              <w:sz w:val="24"/>
              <w:szCs w:val="24"/>
            </w:rPr>
            <w:t>(Kondziella, 2023)</w:t>
          </w:r>
          <w:r>
            <w:rPr>
              <w:rFonts w:asciiTheme="minorBidi" w:hAnsiTheme="minorBidi"/>
              <w:b/>
              <w:bCs/>
              <w:sz w:val="24"/>
              <w:szCs w:val="24"/>
            </w:rPr>
            <w:fldChar w:fldCharType="end"/>
          </w:r>
        </w:sdtContent>
      </w:sdt>
      <w:bookmarkEnd w:id="22"/>
    </w:p>
    <w:p w14:paraId="70F45BC7" w14:textId="77777777" w:rsidR="00502BB2" w:rsidRDefault="0069123E">
      <w:pPr>
        <w:pStyle w:val="Heading2"/>
        <w:ind w:firstLine="360"/>
        <w:rPr>
          <w:rFonts w:asciiTheme="minorBidi" w:hAnsiTheme="minorBidi" w:cstheme="minorBidi"/>
          <w:b/>
          <w:bCs/>
          <w:color w:val="0D0D0D" w:themeColor="text1" w:themeTint="F2"/>
          <w:sz w:val="28"/>
          <w:szCs w:val="28"/>
        </w:rPr>
      </w:pPr>
      <w:bookmarkStart w:id="23" w:name="_Toc226577323"/>
      <w:r>
        <w:rPr>
          <w:rFonts w:asciiTheme="minorBidi" w:hAnsiTheme="minorBidi" w:cstheme="minorBidi"/>
          <w:b/>
          <w:bCs/>
          <w:color w:val="0D0D0D" w:themeColor="text1" w:themeTint="F2"/>
          <w:sz w:val="28"/>
          <w:szCs w:val="28"/>
        </w:rPr>
        <w:t>II. Physiopathologie du DKA :</w:t>
      </w:r>
      <w:bookmarkEnd w:id="23"/>
    </w:p>
    <w:p w14:paraId="6971C372" w14:textId="77777777" w:rsidR="00502BB2" w:rsidRDefault="0069123E">
      <w:pPr>
        <w:pStyle w:val="Heading3"/>
        <w:numPr>
          <w:ilvl w:val="0"/>
          <w:numId w:val="6"/>
        </w:numPr>
        <w:jc w:val="both"/>
        <w:rPr>
          <w:rFonts w:asciiTheme="minorBidi" w:hAnsiTheme="minorBidi" w:cstheme="minorBidi"/>
          <w:b/>
          <w:bCs/>
          <w:color w:val="0D0D0D" w:themeColor="text1" w:themeTint="F2"/>
          <w:sz w:val="24"/>
          <w:szCs w:val="24"/>
        </w:rPr>
      </w:pPr>
      <w:bookmarkStart w:id="24" w:name="_Toc226577324"/>
      <w:r>
        <w:rPr>
          <w:rFonts w:asciiTheme="minorBidi" w:hAnsiTheme="minorBidi" w:cstheme="minorBidi"/>
          <w:b/>
          <w:bCs/>
          <w:color w:val="0D0D0D" w:themeColor="text1" w:themeTint="F2"/>
          <w:sz w:val="24"/>
          <w:szCs w:val="24"/>
        </w:rPr>
        <w:t>Acidocétose diabétique DKA :</w:t>
      </w:r>
      <w:bookmarkEnd w:id="24"/>
    </w:p>
    <w:p w14:paraId="4C63EAD1" w14:textId="77777777" w:rsidR="00502BB2" w:rsidRDefault="0069123E">
      <w:pPr>
        <w:pStyle w:val="NormalWeb"/>
        <w:spacing w:line="360" w:lineRule="auto"/>
        <w:ind w:firstLine="360"/>
        <w:jc w:val="both"/>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t xml:space="preserve">C’est une complication diabétique déclenchée, observée fréquemment chez les patients atteints de diabète de type 1 (enfants et adolescents) plus que chez les patients atteints de diabète de type 2 (adultes), avec une fréquence plus élevée chez les femmes que chez les hommes. Elle se caractérise par une augmentation des taux de glycémie et de cétones liée à un état d’acidose métabolique, associée à un déficit absolu ou relatif en insuline. Cela engage le pronostic vital du patient par diverses complications </w:t>
      </w:r>
      <w:r>
        <w:rPr>
          <w:rFonts w:asciiTheme="minorBidi" w:eastAsiaTheme="minorHAnsi" w:hAnsiTheme="minorBidi" w:cstheme="minorBidi"/>
          <w:kern w:val="2"/>
          <w:lang w:eastAsia="en-US"/>
          <w14:ligatures w14:val="standardContextual"/>
        </w:rPr>
        <w:t>sous-jacentes telles que l’œdème cérébral, la détresse respiratoire et le sepsis, nécessitant une intervention et une prise en charge immédiates.</w:t>
      </w:r>
      <w:sdt>
        <w:sdtPr>
          <w:rPr>
            <w:rFonts w:asciiTheme="minorBidi" w:eastAsiaTheme="minorHAnsi" w:hAnsiTheme="minorBidi" w:cstheme="minorBidi"/>
            <w:b/>
            <w:bCs/>
            <w:kern w:val="2"/>
            <w:lang w:eastAsia="en-US"/>
            <w14:ligatures w14:val="standardContextual"/>
          </w:rPr>
          <w:id w:val="1631508455"/>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Ump24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(Umpierrez GE, 2024)</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w:t>
      </w:r>
      <w:sdt>
        <w:sdtPr>
          <w:rPr>
            <w:rFonts w:asciiTheme="minorBidi" w:eastAsiaTheme="minorHAnsi" w:hAnsiTheme="minorBidi" w:cstheme="minorBidi"/>
            <w:b/>
            <w:bCs/>
            <w:kern w:val="2"/>
            <w:lang w:eastAsia="en-US"/>
            <w14:ligatures w14:val="standardContextual"/>
          </w:rPr>
          <w:id w:val="926147639"/>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Dai26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(Daina MD, 2026)</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w:t>
      </w:r>
    </w:p>
    <w:p w14:paraId="30343E2D"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Le DKA peut être combiné avec le HHS, affection similaire au DKA mais caractérisée par l’absence de corps cétoniques, avec un état hyperosmolaire et une déshydratation (</w:t>
      </w:r>
      <w:r>
        <w:rPr>
          <w:rFonts w:asciiTheme="minorBidi" w:hAnsiTheme="minorBidi"/>
          <w:b/>
          <w:bCs/>
          <w:sz w:val="24"/>
          <w:szCs w:val="24"/>
        </w:rPr>
        <w:t>figure 06</w:t>
      </w:r>
      <w:r>
        <w:rPr>
          <w:rFonts w:asciiTheme="minorBidi" w:hAnsiTheme="minorBidi"/>
          <w:sz w:val="24"/>
          <w:szCs w:val="24"/>
        </w:rPr>
        <w:t>). La mortalité du HHS est supérieure à celle du DKA, et les formes mixtes DKA/HHS présentent un taux de mortalité plus élevé que chacune des entités isolées.</w:t>
      </w:r>
      <w:sdt>
        <w:sdtPr>
          <w:rPr>
            <w:rFonts w:asciiTheme="minorBidi" w:hAnsiTheme="minorBidi"/>
            <w:b/>
            <w:bCs/>
            <w:sz w:val="24"/>
            <w:szCs w:val="24"/>
          </w:rPr>
          <w:id w:val="-134014467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 xml:space="preserve"> (Umpierrez GE, 2024)</w:t>
          </w:r>
          <w:r>
            <w:rPr>
              <w:rFonts w:asciiTheme="minorBidi" w:hAnsiTheme="minorBidi"/>
              <w:b/>
              <w:bCs/>
              <w:sz w:val="24"/>
              <w:szCs w:val="24"/>
            </w:rPr>
            <w:fldChar w:fldCharType="end"/>
          </w:r>
        </w:sdtContent>
      </w:sdt>
      <w:r>
        <w:rPr>
          <w:rFonts w:asciiTheme="minorBidi" w:hAnsiTheme="minorBidi"/>
          <w:b/>
          <w:bCs/>
          <w:sz w:val="24"/>
          <w:szCs w:val="24"/>
        </w:rPr>
        <w:t>.</w:t>
      </w:r>
    </w:p>
    <w:p w14:paraId="5F420D8D"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38066926" wp14:editId="68FC9FB5">
            <wp:extent cx="3300095" cy="3300095"/>
            <wp:effectExtent l="0" t="0" r="0" b="0"/>
            <wp:docPr id="1791050062" name="Picture 3" descr="Diagnostic Criteria for DKA, HHS, and overlap syndrome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50062" name="Picture 3" descr="Diagnostic Criteria for DKA, HHS, and overlap syndrome | Download  Scientific Diagram"/>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3314402" cy="3314402"/>
                    </a:xfrm>
                    <a:prstGeom prst="rect">
                      <a:avLst/>
                    </a:prstGeom>
                    <a:noFill/>
                    <a:ln>
                      <a:noFill/>
                    </a:ln>
                  </pic:spPr>
                </pic:pic>
              </a:graphicData>
            </a:graphic>
          </wp:inline>
        </w:drawing>
      </w:r>
    </w:p>
    <w:p w14:paraId="040EC5D3" w14:textId="2E3B7AD7" w:rsidR="00502BB2" w:rsidRDefault="0069123E">
      <w:pPr>
        <w:pStyle w:val="Caption"/>
        <w:jc w:val="center"/>
        <w:rPr>
          <w:rFonts w:asciiTheme="minorBidi" w:hAnsiTheme="minorBidi"/>
          <w:sz w:val="24"/>
          <w:szCs w:val="24"/>
        </w:rPr>
      </w:pPr>
      <w:bookmarkStart w:id="25" w:name="_Toc225723010"/>
      <w:r>
        <w:rPr>
          <w:b/>
          <w:bCs/>
          <w:sz w:val="24"/>
          <w:szCs w:val="24"/>
        </w:rPr>
        <w:t xml:space="preserve">Figure </w:t>
      </w:r>
      <w:r>
        <w:rPr>
          <w:b/>
          <w:bCs/>
          <w:sz w:val="24"/>
          <w:szCs w:val="24"/>
        </w:rPr>
        <w:fldChar w:fldCharType="begin"/>
      </w:r>
      <w:r>
        <w:rPr>
          <w:b/>
          <w:bCs/>
          <w:sz w:val="24"/>
          <w:szCs w:val="24"/>
        </w:rPr>
        <w:instrText xml:space="preserve"> SEQ Figure \* ARABIC </w:instrText>
      </w:r>
      <w:r>
        <w:rPr>
          <w:b/>
          <w:bCs/>
          <w:sz w:val="24"/>
          <w:szCs w:val="24"/>
        </w:rPr>
        <w:fldChar w:fldCharType="separate"/>
      </w:r>
      <w:r w:rsidR="003462B7">
        <w:rPr>
          <w:b/>
          <w:bCs/>
          <w:noProof/>
          <w:sz w:val="24"/>
          <w:szCs w:val="24"/>
        </w:rPr>
        <w:t>6</w:t>
      </w:r>
      <w:r>
        <w:rPr>
          <w:b/>
          <w:bCs/>
          <w:sz w:val="24"/>
          <w:szCs w:val="24"/>
        </w:rPr>
        <w:fldChar w:fldCharType="end"/>
      </w:r>
      <w:r>
        <w:rPr>
          <w:sz w:val="24"/>
          <w:szCs w:val="24"/>
        </w:rPr>
        <w:t>: Figure des critères de DKA et HSS.</w:t>
      </w:r>
      <w:r>
        <w:t xml:space="preserve"> </w:t>
      </w:r>
      <w:sdt>
        <w:sdtPr>
          <w:rPr>
            <w:rFonts w:asciiTheme="minorBidi" w:hAnsiTheme="minorBidi"/>
            <w:b/>
            <w:bCs/>
            <w:sz w:val="24"/>
            <w:szCs w:val="24"/>
          </w:rPr>
          <w:id w:val="-123045682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Aba25 \l 1036 </w:instrText>
          </w:r>
          <w:r>
            <w:rPr>
              <w:rFonts w:asciiTheme="minorBidi" w:hAnsiTheme="minorBidi"/>
              <w:b/>
              <w:bCs/>
              <w:sz w:val="24"/>
              <w:szCs w:val="24"/>
            </w:rPr>
            <w:fldChar w:fldCharType="separate"/>
          </w:r>
          <w:r>
            <w:rPr>
              <w:rFonts w:asciiTheme="minorBidi" w:hAnsiTheme="minorBidi"/>
              <w:b/>
              <w:bCs/>
              <w:sz w:val="24"/>
              <w:szCs w:val="24"/>
            </w:rPr>
            <w:t xml:space="preserve"> (Abady, 2025)</w:t>
          </w:r>
          <w:r>
            <w:rPr>
              <w:rFonts w:asciiTheme="minorBidi" w:hAnsiTheme="minorBidi"/>
              <w:b/>
              <w:bCs/>
              <w:sz w:val="24"/>
              <w:szCs w:val="24"/>
            </w:rPr>
            <w:fldChar w:fldCharType="end"/>
          </w:r>
        </w:sdtContent>
      </w:sdt>
      <w:bookmarkEnd w:id="25"/>
    </w:p>
    <w:p w14:paraId="45C7DCD6" w14:textId="77777777" w:rsidR="00502BB2" w:rsidRDefault="0069123E">
      <w:pPr>
        <w:pStyle w:val="Heading3"/>
        <w:numPr>
          <w:ilvl w:val="0"/>
          <w:numId w:val="6"/>
        </w:numPr>
        <w:rPr>
          <w:rFonts w:asciiTheme="minorBidi" w:hAnsiTheme="minorBidi" w:cstheme="minorBidi"/>
          <w:b/>
          <w:bCs/>
          <w:color w:val="0D0D0D" w:themeColor="text1" w:themeTint="F2"/>
          <w:sz w:val="24"/>
          <w:szCs w:val="24"/>
        </w:rPr>
      </w:pPr>
      <w:bookmarkStart w:id="26" w:name="_Toc226577325"/>
      <w:r>
        <w:rPr>
          <w:rFonts w:asciiTheme="minorBidi" w:hAnsiTheme="minorBidi" w:cstheme="minorBidi"/>
          <w:b/>
          <w:bCs/>
          <w:color w:val="0D0D0D" w:themeColor="text1" w:themeTint="F2"/>
          <w:sz w:val="24"/>
          <w:szCs w:val="24"/>
        </w:rPr>
        <w:t>Physiopathologie et épidémiologies :</w:t>
      </w:r>
      <w:bookmarkEnd w:id="26"/>
      <w:r>
        <w:rPr>
          <w:rFonts w:asciiTheme="minorBidi" w:hAnsiTheme="minorBidi" w:cstheme="minorBidi"/>
          <w:b/>
          <w:bCs/>
          <w:color w:val="0D0D0D" w:themeColor="text1" w:themeTint="F2"/>
          <w:sz w:val="24"/>
          <w:szCs w:val="24"/>
        </w:rPr>
        <w:t xml:space="preserve"> </w:t>
      </w:r>
    </w:p>
    <w:p w14:paraId="1F6FC587"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Selon les données hospitalières, l’admission des patients présentant des crises hyperglycémiques est estimée à 38 % pour le DKA et 27 % pour les formes mixtes DKA/HHS. Le DKA touche majoritairement les jeunes adultes diabétiques de type 1, dont l’âge se situe dans l’intervalle de 18-44 ans (61,7 %). Son apparition est rapide, survenant en quelques heures à quelques jours, en lien avec l’altération des taux d’insuline secondaire à la destruction auto-immune des cellules bêta pancréatiques. Alors que chez les</w:t>
      </w:r>
      <w:r>
        <w:rPr>
          <w:rFonts w:asciiTheme="minorBidi" w:hAnsiTheme="minorBidi"/>
          <w:sz w:val="24"/>
          <w:szCs w:val="24"/>
        </w:rPr>
        <w:t xml:space="preserve"> patients atteints de diabète de type 2, la survenue du DKA est associée à une fréquence élevée d’obésité.</w:t>
      </w:r>
      <w:sdt>
        <w:sdtPr>
          <w:rPr>
            <w:rFonts w:asciiTheme="minorBidi" w:hAnsiTheme="minorBidi"/>
            <w:b/>
            <w:bCs/>
            <w:sz w:val="24"/>
            <w:szCs w:val="24"/>
          </w:rPr>
          <w:id w:val="157817304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 xml:space="preserve"> (Umpierrez GE, 2024)</w:t>
          </w:r>
          <w:r>
            <w:rPr>
              <w:rFonts w:asciiTheme="minorBidi" w:hAnsiTheme="minorBidi"/>
              <w:b/>
              <w:bCs/>
              <w:sz w:val="24"/>
              <w:szCs w:val="24"/>
            </w:rPr>
            <w:fldChar w:fldCharType="end"/>
          </w:r>
        </w:sdtContent>
      </w:sdt>
      <w:r>
        <w:rPr>
          <w:rFonts w:asciiTheme="minorBidi" w:hAnsiTheme="minorBidi"/>
          <w:sz w:val="24"/>
          <w:szCs w:val="24"/>
        </w:rPr>
        <w:t xml:space="preserve"> </w:t>
      </w:r>
    </w:p>
    <w:p w14:paraId="1DF97FF8" w14:textId="77777777" w:rsidR="00502BB2" w:rsidRDefault="0069123E">
      <w:pPr>
        <w:spacing w:line="360" w:lineRule="auto"/>
        <w:jc w:val="both"/>
        <w:rPr>
          <w:rFonts w:asciiTheme="minorBidi" w:hAnsiTheme="minorBidi"/>
          <w:sz w:val="24"/>
          <w:szCs w:val="24"/>
        </w:rPr>
      </w:pPr>
      <w:r>
        <w:rPr>
          <w:rFonts w:asciiTheme="minorBidi" w:hAnsiTheme="minorBidi"/>
          <w:sz w:val="24"/>
          <w:szCs w:val="24"/>
        </w:rPr>
        <w:t xml:space="preserve">Sur le plan physiopathologique, l’état résulte d’une altération complète ou partielle de l’insuline associée à une augmentation des hormones antagonistes de l’insuline, incluant le glucagon, l’hormone de croissance, les catécholamines (épinéphrine et norépinéphrine) et le cortisol. Cette dysrégulation hormonale entraîne un état de catabolisme et une résistance à l’insuline, qui en résulte une hyperglycémie, une </w:t>
      </w:r>
      <w:proofErr w:type="spellStart"/>
      <w:r>
        <w:rPr>
          <w:rFonts w:asciiTheme="minorBidi" w:hAnsiTheme="minorBidi"/>
          <w:sz w:val="24"/>
          <w:szCs w:val="24"/>
        </w:rPr>
        <w:t>hypercétonémie</w:t>
      </w:r>
      <w:proofErr w:type="spellEnd"/>
      <w:r>
        <w:rPr>
          <w:rFonts w:asciiTheme="minorBidi" w:hAnsiTheme="minorBidi"/>
          <w:sz w:val="24"/>
          <w:szCs w:val="24"/>
        </w:rPr>
        <w:t xml:space="preserve">, Cela s’explique par l’incapacité du transport du glucose vers les cellules, limitant son utilisation comme source d’énergie pour le fonctionnement de l’organisme, ce qui augmente les </w:t>
      </w:r>
      <w:r>
        <w:rPr>
          <w:rFonts w:asciiTheme="minorBidi" w:hAnsiTheme="minorBidi"/>
          <w:sz w:val="24"/>
          <w:szCs w:val="24"/>
        </w:rPr>
        <w:lastRenderedPageBreak/>
        <w:t>besoins cellulaires et conduit l’organisme à passer vers l’utilisation des acides gras libres comme combustible alternatif (</w:t>
      </w:r>
      <w:r>
        <w:rPr>
          <w:rFonts w:asciiTheme="minorBidi" w:hAnsiTheme="minorBidi"/>
          <w:b/>
          <w:bCs/>
          <w:sz w:val="24"/>
          <w:szCs w:val="24"/>
        </w:rPr>
        <w:t>figure 07</w:t>
      </w:r>
      <w:r>
        <w:rPr>
          <w:rFonts w:asciiTheme="minorBidi" w:hAnsiTheme="minorBidi"/>
          <w:sz w:val="24"/>
          <w:szCs w:val="24"/>
        </w:rPr>
        <w:t xml:space="preserve">). Ces acides gras libres sont issus du processus de lipolyse au niveau des adipocytes, à partir des réserves de triglycérides en acides gras et glycérol, transportés par la suite </w:t>
      </w:r>
      <w:r>
        <w:rPr>
          <w:rFonts w:asciiTheme="minorBidi" w:hAnsiTheme="minorBidi"/>
          <w:sz w:val="24"/>
          <w:szCs w:val="24"/>
        </w:rPr>
        <w:t xml:space="preserve">vers les mitochondries hépatiques où ils subissent une oxydation aboutissant à la production de corps cétoniques : bêta-hydroxybutyrate, acétone et acétoacétate. </w:t>
      </w:r>
      <w:sdt>
        <w:sdtPr>
          <w:rPr>
            <w:rFonts w:asciiTheme="minorBidi" w:hAnsiTheme="minorBidi"/>
            <w:sz w:val="24"/>
            <w:szCs w:val="24"/>
          </w:rPr>
          <w:id w:val="-295378287"/>
        </w:sdtPr>
        <w:sdtEndPr>
          <w:rPr>
            <w:b/>
            <w:bCs/>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(Elendu,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75018650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(Umpierrez GE, 2024)</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121835097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Dai26 \l 1036 </w:instrText>
          </w:r>
          <w:r>
            <w:rPr>
              <w:rFonts w:asciiTheme="minorBidi" w:hAnsiTheme="minorBidi"/>
              <w:b/>
              <w:bCs/>
              <w:sz w:val="24"/>
              <w:szCs w:val="24"/>
            </w:rPr>
            <w:fldChar w:fldCharType="separate"/>
          </w:r>
          <w:r>
            <w:rPr>
              <w:rFonts w:asciiTheme="minorBidi" w:hAnsiTheme="minorBidi"/>
              <w:b/>
              <w:bCs/>
              <w:sz w:val="24"/>
              <w:szCs w:val="24"/>
            </w:rPr>
            <w:t xml:space="preserve"> (Daina MD, 2026)</w:t>
          </w:r>
          <w:r>
            <w:rPr>
              <w:rFonts w:asciiTheme="minorBidi" w:hAnsiTheme="minorBidi"/>
              <w:b/>
              <w:bCs/>
              <w:sz w:val="24"/>
              <w:szCs w:val="24"/>
            </w:rPr>
            <w:fldChar w:fldCharType="end"/>
          </w:r>
        </w:sdtContent>
      </w:sdt>
    </w:p>
    <w:p w14:paraId="07AF2237" w14:textId="77777777" w:rsidR="00502BB2" w:rsidRDefault="0069123E">
      <w:pPr>
        <w:keepNext/>
        <w:spacing w:line="360" w:lineRule="auto"/>
        <w:jc w:val="center"/>
      </w:pPr>
      <w:r>
        <w:rPr>
          <w:rFonts w:asciiTheme="minorBidi" w:hAnsiTheme="minorBidi"/>
          <w:noProof/>
          <w:sz w:val="24"/>
          <w:szCs w:val="24"/>
        </w:rPr>
        <w:drawing>
          <wp:inline distT="0" distB="0" distL="0" distR="0" wp14:anchorId="3E87D8D7" wp14:editId="7C969422">
            <wp:extent cx="5735320" cy="3124200"/>
            <wp:effectExtent l="0" t="0" r="0" b="0"/>
            <wp:docPr id="1191284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28497" name="Picture 1"/>
                    <pic:cNvPicPr>
                      <a:picLocks noChangeAspect="1"/>
                    </pic:cNvPicPr>
                  </pic:nvPicPr>
                  <pic:blipFill>
                    <a:blip r:embed="rId29"/>
                    <a:stretch>
                      <a:fillRect/>
                    </a:stretch>
                  </pic:blipFill>
                  <pic:spPr>
                    <a:xfrm>
                      <a:off x="0" y="0"/>
                      <a:ext cx="5752733" cy="3133538"/>
                    </a:xfrm>
                    <a:prstGeom prst="rect">
                      <a:avLst/>
                    </a:prstGeom>
                  </pic:spPr>
                </pic:pic>
              </a:graphicData>
            </a:graphic>
          </wp:inline>
        </w:drawing>
      </w:r>
    </w:p>
    <w:p w14:paraId="64C058A4" w14:textId="532A5A1D" w:rsidR="00502BB2" w:rsidRDefault="0069123E">
      <w:pPr>
        <w:pStyle w:val="Caption"/>
        <w:jc w:val="center"/>
        <w:rPr>
          <w:rFonts w:asciiTheme="minorBidi" w:hAnsiTheme="minorBidi"/>
          <w:sz w:val="24"/>
          <w:szCs w:val="24"/>
        </w:rPr>
      </w:pPr>
      <w:bookmarkStart w:id="27" w:name="_Toc225723011"/>
      <w:r>
        <w:rPr>
          <w:b/>
          <w:bCs/>
          <w:sz w:val="24"/>
          <w:szCs w:val="24"/>
        </w:rPr>
        <w:t xml:space="preserve">Figure </w:t>
      </w:r>
      <w:r>
        <w:rPr>
          <w:b/>
          <w:bCs/>
          <w:sz w:val="24"/>
          <w:szCs w:val="24"/>
        </w:rPr>
        <w:fldChar w:fldCharType="begin"/>
      </w:r>
      <w:r>
        <w:rPr>
          <w:b/>
          <w:bCs/>
          <w:sz w:val="24"/>
          <w:szCs w:val="24"/>
        </w:rPr>
        <w:instrText xml:space="preserve"> SEQ Figure \* ARABIC </w:instrText>
      </w:r>
      <w:r>
        <w:rPr>
          <w:b/>
          <w:bCs/>
          <w:sz w:val="24"/>
          <w:szCs w:val="24"/>
        </w:rPr>
        <w:fldChar w:fldCharType="separate"/>
      </w:r>
      <w:r w:rsidR="003462B7">
        <w:rPr>
          <w:b/>
          <w:bCs/>
          <w:noProof/>
          <w:sz w:val="24"/>
          <w:szCs w:val="24"/>
        </w:rPr>
        <w:t>7</w:t>
      </w:r>
      <w:r>
        <w:rPr>
          <w:b/>
          <w:bCs/>
          <w:sz w:val="24"/>
          <w:szCs w:val="24"/>
        </w:rPr>
        <w:fldChar w:fldCharType="end"/>
      </w:r>
      <w:r>
        <w:rPr>
          <w:b/>
          <w:bCs/>
          <w:sz w:val="24"/>
          <w:szCs w:val="24"/>
        </w:rPr>
        <w:t xml:space="preserve"> : </w:t>
      </w:r>
      <w:r>
        <w:rPr>
          <w:sz w:val="24"/>
          <w:szCs w:val="24"/>
        </w:rPr>
        <w:t>Figure du mécanisme de productions de l’hyperglycémie en DKA</w:t>
      </w:r>
      <w:r>
        <w:t>.</w:t>
      </w:r>
      <w:sdt>
        <w:sdtPr>
          <w:rPr>
            <w:rFonts w:asciiTheme="minorBidi" w:hAnsiTheme="minorBidi"/>
            <w:b/>
            <w:bCs/>
            <w:sz w:val="24"/>
            <w:szCs w:val="24"/>
          </w:rPr>
          <w:id w:val="167167717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Dai26 \l 1036 </w:instrText>
          </w:r>
          <w:r>
            <w:rPr>
              <w:rFonts w:asciiTheme="minorBidi" w:hAnsiTheme="minorBidi"/>
              <w:b/>
              <w:bCs/>
              <w:sz w:val="24"/>
              <w:szCs w:val="24"/>
            </w:rPr>
            <w:fldChar w:fldCharType="separate"/>
          </w:r>
          <w:r>
            <w:rPr>
              <w:rFonts w:asciiTheme="minorBidi" w:hAnsiTheme="minorBidi"/>
              <w:b/>
              <w:bCs/>
              <w:sz w:val="24"/>
              <w:szCs w:val="24"/>
            </w:rPr>
            <w:t xml:space="preserve"> (Daina MD, 2026)</w:t>
          </w:r>
          <w:r>
            <w:rPr>
              <w:rFonts w:asciiTheme="minorBidi" w:hAnsiTheme="minorBidi"/>
              <w:b/>
              <w:bCs/>
              <w:sz w:val="24"/>
              <w:szCs w:val="24"/>
            </w:rPr>
            <w:fldChar w:fldCharType="end"/>
          </w:r>
        </w:sdtContent>
      </w:sdt>
      <w:bookmarkEnd w:id="27"/>
    </w:p>
    <w:p w14:paraId="4215826A"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Elle entraîne également une hyperosmolarité ainsi que des déséquilibres électrolytiques, expliqués par la perte d’eau et d’électrolytes des compartiments intra- et extracellulaires, conduisant à une déshydratation. En réponse à l’état hyperosmolaire, il y a une stimulation de l’ADH, entraînant une augmentation de la tension artérielle par l’activation des récepteurs V2 et d’autres mécanismes associés. D’autre part, cela déclenche une oligurie caractérisée l’augmentation du débit sanguin rénal et de la filtr</w:t>
      </w:r>
      <w:r>
        <w:rPr>
          <w:rFonts w:asciiTheme="minorBidi" w:hAnsiTheme="minorBidi"/>
          <w:sz w:val="24"/>
          <w:szCs w:val="24"/>
        </w:rPr>
        <w:t>ation glomérulaire (</w:t>
      </w:r>
      <w:r>
        <w:rPr>
          <w:rFonts w:asciiTheme="minorBidi" w:hAnsiTheme="minorBidi"/>
          <w:b/>
          <w:bCs/>
          <w:sz w:val="24"/>
          <w:szCs w:val="24"/>
        </w:rPr>
        <w:t>figure 08</w:t>
      </w:r>
      <w:r>
        <w:rPr>
          <w:rFonts w:asciiTheme="minorBidi" w:hAnsiTheme="minorBidi"/>
          <w:sz w:val="24"/>
          <w:szCs w:val="24"/>
        </w:rPr>
        <w:t>).</w:t>
      </w:r>
      <w:sdt>
        <w:sdtPr>
          <w:rPr>
            <w:rFonts w:asciiTheme="minorBidi" w:hAnsiTheme="minorBidi"/>
            <w:b/>
            <w:bCs/>
            <w:sz w:val="24"/>
            <w:szCs w:val="24"/>
          </w:rPr>
          <w:id w:val="-110804176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Gos14 \l 1036 </w:instrText>
          </w:r>
          <w:r>
            <w:rPr>
              <w:rFonts w:asciiTheme="minorBidi" w:hAnsiTheme="minorBidi"/>
              <w:b/>
              <w:bCs/>
              <w:sz w:val="24"/>
              <w:szCs w:val="24"/>
            </w:rPr>
            <w:fldChar w:fldCharType="separate"/>
          </w:r>
          <w:r>
            <w:rPr>
              <w:rFonts w:asciiTheme="minorBidi" w:hAnsiTheme="minorBidi"/>
              <w:b/>
              <w:bCs/>
              <w:sz w:val="24"/>
              <w:szCs w:val="24"/>
            </w:rPr>
            <w:t xml:space="preserve"> (Gosmanov, 2014)</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45528474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(Elendu, 2023)</w:t>
          </w:r>
          <w:r>
            <w:rPr>
              <w:rFonts w:asciiTheme="minorBidi" w:hAnsiTheme="minorBidi"/>
              <w:b/>
              <w:bCs/>
              <w:sz w:val="24"/>
              <w:szCs w:val="24"/>
            </w:rPr>
            <w:fldChar w:fldCharType="end"/>
          </w:r>
        </w:sdtContent>
      </w:sdt>
    </w:p>
    <w:p w14:paraId="4E38F97E"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37BDC900" wp14:editId="06D4C72A">
            <wp:extent cx="4238625" cy="3259455"/>
            <wp:effectExtent l="0" t="0" r="0" b="0"/>
            <wp:docPr id="696960330" name="Picture 5" descr="Effects produced by vasopressin via V1 and V2 receptor activation. AC:... |  Download Scientific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960330" name="Picture 5" descr="Effects produced by vasopressin via V1 and V2 receptor activation. AC:... |  Download Scientific Diagram"/>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4255325" cy="3272641"/>
                    </a:xfrm>
                    <a:prstGeom prst="rect">
                      <a:avLst/>
                    </a:prstGeom>
                    <a:noFill/>
                    <a:ln>
                      <a:noFill/>
                    </a:ln>
                  </pic:spPr>
                </pic:pic>
              </a:graphicData>
            </a:graphic>
          </wp:inline>
        </w:drawing>
      </w:r>
    </w:p>
    <w:p w14:paraId="7AC84092" w14:textId="24EDFA37" w:rsidR="00502BB2" w:rsidRDefault="0069123E">
      <w:pPr>
        <w:pStyle w:val="Caption"/>
        <w:jc w:val="center"/>
        <w:rPr>
          <w:rFonts w:asciiTheme="minorBidi" w:hAnsiTheme="minorBidi"/>
          <w:sz w:val="24"/>
          <w:szCs w:val="24"/>
        </w:rPr>
      </w:pPr>
      <w:bookmarkStart w:id="28" w:name="_Toc225723012"/>
      <w:r>
        <w:rPr>
          <w:b/>
          <w:bCs/>
          <w:sz w:val="24"/>
          <w:szCs w:val="24"/>
        </w:rPr>
        <w:t xml:space="preserve">Figure </w:t>
      </w:r>
      <w:r>
        <w:rPr>
          <w:b/>
          <w:bCs/>
          <w:sz w:val="24"/>
          <w:szCs w:val="24"/>
        </w:rPr>
        <w:fldChar w:fldCharType="begin"/>
      </w:r>
      <w:r>
        <w:rPr>
          <w:b/>
          <w:bCs/>
          <w:sz w:val="24"/>
          <w:szCs w:val="24"/>
        </w:rPr>
        <w:instrText xml:space="preserve"> SEQ Figure \* ARABIC </w:instrText>
      </w:r>
      <w:r>
        <w:rPr>
          <w:b/>
          <w:bCs/>
          <w:sz w:val="24"/>
          <w:szCs w:val="24"/>
        </w:rPr>
        <w:fldChar w:fldCharType="separate"/>
      </w:r>
      <w:r w:rsidR="003462B7">
        <w:rPr>
          <w:b/>
          <w:bCs/>
          <w:noProof/>
          <w:sz w:val="24"/>
          <w:szCs w:val="24"/>
        </w:rPr>
        <w:t>8</w:t>
      </w:r>
      <w:r>
        <w:rPr>
          <w:b/>
          <w:bCs/>
          <w:sz w:val="24"/>
          <w:szCs w:val="24"/>
        </w:rPr>
        <w:fldChar w:fldCharType="end"/>
      </w:r>
      <w:r>
        <w:rPr>
          <w:b/>
          <w:bCs/>
          <w:sz w:val="24"/>
          <w:szCs w:val="24"/>
        </w:rPr>
        <w:t>:</w:t>
      </w:r>
      <w:r>
        <w:rPr>
          <w:sz w:val="24"/>
          <w:szCs w:val="24"/>
        </w:rPr>
        <w:t xml:space="preserve"> Figure de la signalisation de la vasopressine</w:t>
      </w:r>
      <w:r>
        <w:t xml:space="preserve"> </w:t>
      </w:r>
      <w:sdt>
        <w:sdtPr>
          <w:rPr>
            <w:rFonts w:asciiTheme="minorBidi" w:hAnsiTheme="minorBidi"/>
            <w:b/>
            <w:bCs/>
            <w:sz w:val="24"/>
            <w:szCs w:val="24"/>
          </w:rPr>
          <w:id w:val="-118042646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Tam09 \l 1036 </w:instrText>
          </w:r>
          <w:r>
            <w:rPr>
              <w:rFonts w:asciiTheme="minorBidi" w:hAnsiTheme="minorBidi"/>
              <w:b/>
              <w:bCs/>
              <w:sz w:val="24"/>
              <w:szCs w:val="24"/>
            </w:rPr>
            <w:fldChar w:fldCharType="separate"/>
          </w:r>
          <w:r>
            <w:rPr>
              <w:rFonts w:asciiTheme="minorBidi" w:hAnsiTheme="minorBidi"/>
              <w:b/>
              <w:bCs/>
              <w:sz w:val="24"/>
              <w:szCs w:val="24"/>
            </w:rPr>
            <w:t>(Tamargo, 2009)</w:t>
          </w:r>
          <w:r>
            <w:rPr>
              <w:rFonts w:asciiTheme="minorBidi" w:hAnsiTheme="minorBidi"/>
              <w:b/>
              <w:bCs/>
              <w:sz w:val="24"/>
              <w:szCs w:val="24"/>
            </w:rPr>
            <w:fldChar w:fldCharType="end"/>
          </w:r>
        </w:sdtContent>
      </w:sdt>
      <w:bookmarkEnd w:id="28"/>
    </w:p>
    <w:p w14:paraId="6F620D28"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Cet état métabolique induit un stress oxydatif par production excessive de ROS, responsable de dommages aux protéines, aux lipides et à l’ADN, provoquant des lésions cellulaires. Leur accumulation favorise la résistance à l’insuline, l’inflammation et la dysfonction endothéliale (</w:t>
      </w:r>
      <w:r>
        <w:rPr>
          <w:rFonts w:asciiTheme="minorBidi" w:hAnsiTheme="minorBidi"/>
          <w:b/>
          <w:bCs/>
          <w:sz w:val="24"/>
          <w:szCs w:val="24"/>
        </w:rPr>
        <w:t>figure 09</w:t>
      </w:r>
      <w:r>
        <w:rPr>
          <w:rFonts w:asciiTheme="minorBidi" w:hAnsiTheme="minorBidi"/>
          <w:sz w:val="24"/>
          <w:szCs w:val="24"/>
        </w:rPr>
        <w:t>).</w:t>
      </w:r>
      <w:sdt>
        <w:sdtPr>
          <w:rPr>
            <w:rFonts w:asciiTheme="minorBidi" w:hAnsiTheme="minorBidi"/>
            <w:b/>
            <w:bCs/>
            <w:sz w:val="24"/>
            <w:szCs w:val="24"/>
          </w:rPr>
          <w:id w:val="82478748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Dai26 \l 1036 </w:instrText>
          </w:r>
          <w:r>
            <w:rPr>
              <w:rFonts w:asciiTheme="minorBidi" w:hAnsiTheme="minorBidi"/>
              <w:b/>
              <w:bCs/>
              <w:sz w:val="24"/>
              <w:szCs w:val="24"/>
            </w:rPr>
            <w:fldChar w:fldCharType="separate"/>
          </w:r>
          <w:r>
            <w:rPr>
              <w:rFonts w:asciiTheme="minorBidi" w:hAnsiTheme="minorBidi"/>
              <w:b/>
              <w:bCs/>
              <w:sz w:val="24"/>
              <w:szCs w:val="24"/>
            </w:rPr>
            <w:t xml:space="preserve"> (Daina MD, 2026)</w:t>
          </w:r>
          <w:r>
            <w:rPr>
              <w:rFonts w:asciiTheme="minorBidi" w:hAnsiTheme="minorBidi"/>
              <w:b/>
              <w:bCs/>
              <w:sz w:val="24"/>
              <w:szCs w:val="24"/>
            </w:rPr>
            <w:fldChar w:fldCharType="end"/>
          </w:r>
        </w:sdtContent>
      </w:sdt>
    </w:p>
    <w:p w14:paraId="1F9FBBEF"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2BE958A5" wp14:editId="31FA893C">
            <wp:extent cx="3943350" cy="2941955"/>
            <wp:effectExtent l="0" t="0" r="0" b="0"/>
            <wp:docPr id="1619530578" name="Picture 4" descr="Dysfonction endothéliale au cours du diabète : déséquilibr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9530578" name="Picture 4" descr="Dysfonction endothéliale au cours du diabète : déséquilibre ..."/>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3953942" cy="2950217"/>
                    </a:xfrm>
                    <a:prstGeom prst="rect">
                      <a:avLst/>
                    </a:prstGeom>
                    <a:noFill/>
                    <a:ln>
                      <a:noFill/>
                    </a:ln>
                  </pic:spPr>
                </pic:pic>
              </a:graphicData>
            </a:graphic>
          </wp:inline>
        </w:drawing>
      </w:r>
    </w:p>
    <w:p w14:paraId="4DF971CD" w14:textId="5B2B0DCC" w:rsidR="00502BB2" w:rsidRDefault="0069123E">
      <w:pPr>
        <w:pStyle w:val="Caption"/>
        <w:jc w:val="center"/>
        <w:rPr>
          <w:rFonts w:asciiTheme="minorBidi" w:hAnsiTheme="minorBidi"/>
          <w:sz w:val="24"/>
          <w:szCs w:val="24"/>
        </w:rPr>
      </w:pPr>
      <w:bookmarkStart w:id="29" w:name="_Toc225723013"/>
      <w:r>
        <w:rPr>
          <w:b/>
          <w:bCs/>
          <w:sz w:val="24"/>
          <w:szCs w:val="24"/>
        </w:rPr>
        <w:t xml:space="preserve">Figure </w:t>
      </w:r>
      <w:r>
        <w:rPr>
          <w:b/>
          <w:bCs/>
          <w:sz w:val="24"/>
          <w:szCs w:val="24"/>
        </w:rPr>
        <w:fldChar w:fldCharType="begin"/>
      </w:r>
      <w:r>
        <w:rPr>
          <w:b/>
          <w:bCs/>
          <w:sz w:val="24"/>
          <w:szCs w:val="24"/>
        </w:rPr>
        <w:instrText xml:space="preserve"> SEQ Figure \* ARABIC </w:instrText>
      </w:r>
      <w:r>
        <w:rPr>
          <w:b/>
          <w:bCs/>
          <w:sz w:val="24"/>
          <w:szCs w:val="24"/>
        </w:rPr>
        <w:fldChar w:fldCharType="separate"/>
      </w:r>
      <w:r w:rsidR="003462B7">
        <w:rPr>
          <w:b/>
          <w:bCs/>
          <w:noProof/>
          <w:sz w:val="24"/>
          <w:szCs w:val="24"/>
        </w:rPr>
        <w:t>9</w:t>
      </w:r>
      <w:r>
        <w:rPr>
          <w:b/>
          <w:bCs/>
          <w:sz w:val="24"/>
          <w:szCs w:val="24"/>
        </w:rPr>
        <w:fldChar w:fldCharType="end"/>
      </w:r>
      <w:r>
        <w:rPr>
          <w:b/>
          <w:bCs/>
          <w:sz w:val="24"/>
          <w:szCs w:val="24"/>
        </w:rPr>
        <w:t>:</w:t>
      </w:r>
      <w:r>
        <w:rPr>
          <w:sz w:val="24"/>
          <w:szCs w:val="24"/>
        </w:rPr>
        <w:t xml:space="preserve"> Figure sur le stress oxydatif dans DKA</w:t>
      </w:r>
      <w:r>
        <w:t xml:space="preserve"> </w:t>
      </w:r>
      <w:sdt>
        <w:sdtPr>
          <w:rPr>
            <w:rFonts w:asciiTheme="minorBidi" w:hAnsiTheme="minorBidi"/>
            <w:b/>
            <w:bCs/>
            <w:sz w:val="24"/>
            <w:szCs w:val="24"/>
          </w:rPr>
          <w:id w:val="633375182"/>
        </w:sdtPr>
        <w:sdtEndPr/>
        <w:sdtContent>
          <w:r>
            <w:rPr>
              <w:rFonts w:asciiTheme="minorBidi" w:hAnsiTheme="minorBidi"/>
              <w:b/>
              <w:bCs/>
              <w:sz w:val="24"/>
              <w:szCs w:val="24"/>
            </w:rPr>
            <w:fldChar w:fldCharType="begin"/>
          </w:r>
          <w:r>
            <w:rPr>
              <w:rFonts w:asciiTheme="minorBidi" w:hAnsiTheme="minorBidi"/>
              <w:b/>
              <w:bCs/>
              <w:sz w:val="24"/>
              <w:szCs w:val="24"/>
            </w:rPr>
            <w:instrText xml:space="preserve">CITATION BFè08 \l 1036 </w:instrText>
          </w:r>
          <w:r>
            <w:rPr>
              <w:rFonts w:asciiTheme="minorBidi" w:hAnsiTheme="minorBidi"/>
              <w:b/>
              <w:bCs/>
              <w:sz w:val="24"/>
              <w:szCs w:val="24"/>
            </w:rPr>
            <w:fldChar w:fldCharType="separate"/>
          </w:r>
          <w:r>
            <w:rPr>
              <w:rFonts w:asciiTheme="minorBidi" w:hAnsiTheme="minorBidi"/>
              <w:b/>
              <w:bCs/>
              <w:sz w:val="24"/>
              <w:szCs w:val="24"/>
            </w:rPr>
            <w:t>(Fève, 2008)</w:t>
          </w:r>
          <w:r>
            <w:rPr>
              <w:rFonts w:asciiTheme="minorBidi" w:hAnsiTheme="minorBidi"/>
              <w:b/>
              <w:bCs/>
              <w:sz w:val="24"/>
              <w:szCs w:val="24"/>
            </w:rPr>
            <w:fldChar w:fldCharType="end"/>
          </w:r>
        </w:sdtContent>
      </w:sdt>
      <w:bookmarkEnd w:id="29"/>
    </w:p>
    <w:p w14:paraId="758FA53A" w14:textId="77777777" w:rsidR="00502BB2" w:rsidRDefault="0069123E">
      <w:pPr>
        <w:spacing w:line="360" w:lineRule="auto"/>
        <w:ind w:firstLine="708"/>
        <w:jc w:val="both"/>
        <w:rPr>
          <w:rFonts w:asciiTheme="minorBidi" w:hAnsiTheme="minorBidi"/>
          <w:b/>
          <w:bCs/>
          <w:sz w:val="24"/>
          <w:szCs w:val="24"/>
        </w:rPr>
      </w:pPr>
      <w:r>
        <w:rPr>
          <w:rFonts w:asciiTheme="minorBidi" w:hAnsiTheme="minorBidi"/>
          <w:sz w:val="24"/>
          <w:szCs w:val="24"/>
        </w:rPr>
        <w:t>L’altération hormonale est fréquemment déclenchée par des états infectieux (infections urinaires ou respiratoires), un trauma, un infarctus du myocarde, une pancréatite aiguë, des brûlures, une chirurgie, un AVC ou une substance abuse. Ces situations activent la gluconéogenèse et la glycogénolyse en réponse au stress, majorant l’hyperglycémie. Ces stresseurs causent l’augmentation des cytokines pro-inflammatoires (IL-1β, IL-6, TNF-α) et de la CRP, accentuant la contre-régulation hormonale, la lipolyse et la</w:t>
      </w:r>
      <w:r>
        <w:rPr>
          <w:rFonts w:asciiTheme="minorBidi" w:hAnsiTheme="minorBidi"/>
          <w:sz w:val="24"/>
          <w:szCs w:val="24"/>
        </w:rPr>
        <w:t xml:space="preserve"> protéolyse, aggravant ainsi l’état hyperglycémique </w:t>
      </w:r>
      <w:r>
        <w:rPr>
          <w:rFonts w:asciiTheme="minorBidi" w:hAnsiTheme="minorBidi"/>
          <w:b/>
          <w:bCs/>
          <w:sz w:val="24"/>
          <w:szCs w:val="24"/>
        </w:rPr>
        <w:t xml:space="preserve">(figure 10). </w:t>
      </w:r>
      <w:sdt>
        <w:sdtPr>
          <w:rPr>
            <w:rFonts w:asciiTheme="minorBidi" w:hAnsiTheme="minorBidi"/>
            <w:b/>
            <w:bCs/>
            <w:sz w:val="24"/>
            <w:szCs w:val="24"/>
          </w:rPr>
          <w:id w:val="-140814352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(Elendu,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29443849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(Umpierrez GE, 2024)</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8580763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Dai26 \l 1036 </w:instrText>
          </w:r>
          <w:r>
            <w:rPr>
              <w:rFonts w:asciiTheme="minorBidi" w:hAnsiTheme="minorBidi"/>
              <w:b/>
              <w:bCs/>
              <w:sz w:val="24"/>
              <w:szCs w:val="24"/>
            </w:rPr>
            <w:fldChar w:fldCharType="separate"/>
          </w:r>
          <w:r>
            <w:rPr>
              <w:rFonts w:asciiTheme="minorBidi" w:hAnsiTheme="minorBidi"/>
              <w:b/>
              <w:bCs/>
              <w:sz w:val="24"/>
              <w:szCs w:val="24"/>
            </w:rPr>
            <w:t>(Daina MD, 2026)</w:t>
          </w:r>
          <w:r>
            <w:rPr>
              <w:rFonts w:asciiTheme="minorBidi" w:hAnsiTheme="minorBidi"/>
              <w:b/>
              <w:bCs/>
              <w:sz w:val="24"/>
              <w:szCs w:val="24"/>
            </w:rPr>
            <w:fldChar w:fldCharType="end"/>
          </w:r>
        </w:sdtContent>
      </w:sdt>
    </w:p>
    <w:p w14:paraId="22C2A785"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736F8DB9" wp14:editId="199CE4A0">
            <wp:extent cx="5343525" cy="4164965"/>
            <wp:effectExtent l="0" t="0" r="0" b="6985"/>
            <wp:docPr id="17048732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873241" name="Picture 1"/>
                    <pic:cNvPicPr>
                      <a:picLocks noChangeAspect="1"/>
                    </pic:cNvPicPr>
                  </pic:nvPicPr>
                  <pic:blipFill>
                    <a:blip r:embed="rId32"/>
                    <a:stretch>
                      <a:fillRect/>
                    </a:stretch>
                  </pic:blipFill>
                  <pic:spPr>
                    <a:xfrm>
                      <a:off x="0" y="0"/>
                      <a:ext cx="5363105" cy="4180800"/>
                    </a:xfrm>
                    <a:prstGeom prst="rect">
                      <a:avLst/>
                    </a:prstGeom>
                  </pic:spPr>
                </pic:pic>
              </a:graphicData>
            </a:graphic>
          </wp:inline>
        </w:drawing>
      </w:r>
    </w:p>
    <w:p w14:paraId="20A16020" w14:textId="54417414" w:rsidR="00502BB2" w:rsidRDefault="0069123E">
      <w:pPr>
        <w:pStyle w:val="Caption"/>
        <w:jc w:val="center"/>
        <w:rPr>
          <w:rFonts w:asciiTheme="minorBidi" w:hAnsiTheme="minorBidi"/>
          <w:sz w:val="24"/>
          <w:szCs w:val="24"/>
        </w:rPr>
      </w:pPr>
      <w:bookmarkStart w:id="30" w:name="_Toc225723014"/>
      <w:r>
        <w:rPr>
          <w:b/>
          <w:bCs/>
          <w:sz w:val="24"/>
          <w:szCs w:val="24"/>
        </w:rPr>
        <w:t xml:space="preserve">Figure </w:t>
      </w:r>
      <w:r>
        <w:rPr>
          <w:b/>
          <w:bCs/>
          <w:sz w:val="24"/>
          <w:szCs w:val="24"/>
        </w:rPr>
        <w:fldChar w:fldCharType="begin"/>
      </w:r>
      <w:r>
        <w:rPr>
          <w:b/>
          <w:bCs/>
          <w:sz w:val="24"/>
          <w:szCs w:val="24"/>
        </w:rPr>
        <w:instrText xml:space="preserve"> SEQ Figure \* ARABIC </w:instrText>
      </w:r>
      <w:r>
        <w:rPr>
          <w:b/>
          <w:bCs/>
          <w:sz w:val="24"/>
          <w:szCs w:val="24"/>
        </w:rPr>
        <w:fldChar w:fldCharType="separate"/>
      </w:r>
      <w:r w:rsidR="003462B7">
        <w:rPr>
          <w:b/>
          <w:bCs/>
          <w:noProof/>
          <w:sz w:val="24"/>
          <w:szCs w:val="24"/>
        </w:rPr>
        <w:t>10</w:t>
      </w:r>
      <w:r>
        <w:rPr>
          <w:b/>
          <w:bCs/>
          <w:sz w:val="24"/>
          <w:szCs w:val="24"/>
        </w:rPr>
        <w:fldChar w:fldCharType="end"/>
      </w:r>
      <w:r>
        <w:rPr>
          <w:b/>
          <w:bCs/>
          <w:sz w:val="24"/>
          <w:szCs w:val="24"/>
        </w:rPr>
        <w:t> :</w:t>
      </w:r>
      <w:r>
        <w:rPr>
          <w:sz w:val="24"/>
          <w:szCs w:val="24"/>
        </w:rPr>
        <w:t xml:space="preserve"> Figure sur la physiopathologie du DKA.</w:t>
      </w:r>
      <w:sdt>
        <w:sdtPr>
          <w:rPr>
            <w:rFonts w:asciiTheme="minorBidi" w:hAnsiTheme="minorBidi"/>
            <w:b/>
            <w:bCs/>
            <w:sz w:val="24"/>
            <w:szCs w:val="24"/>
          </w:rPr>
          <w:id w:val="-10018959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 xml:space="preserve"> (Umpierrez GE, 2024)</w:t>
          </w:r>
          <w:r>
            <w:rPr>
              <w:rFonts w:asciiTheme="minorBidi" w:hAnsiTheme="minorBidi"/>
              <w:b/>
              <w:bCs/>
              <w:sz w:val="24"/>
              <w:szCs w:val="24"/>
            </w:rPr>
            <w:fldChar w:fldCharType="end"/>
          </w:r>
        </w:sdtContent>
      </w:sdt>
      <w:bookmarkEnd w:id="30"/>
    </w:p>
    <w:p w14:paraId="69F1780D" w14:textId="77777777" w:rsidR="00502BB2" w:rsidRDefault="0069123E">
      <w:pPr>
        <w:pStyle w:val="Heading3"/>
        <w:numPr>
          <w:ilvl w:val="0"/>
          <w:numId w:val="6"/>
        </w:numPr>
        <w:rPr>
          <w:rFonts w:asciiTheme="minorBidi" w:hAnsiTheme="minorBidi" w:cstheme="minorBidi"/>
          <w:b/>
          <w:bCs/>
          <w:color w:val="0D0D0D" w:themeColor="text1" w:themeTint="F2"/>
          <w:sz w:val="24"/>
          <w:szCs w:val="24"/>
        </w:rPr>
      </w:pPr>
      <w:bookmarkStart w:id="31" w:name="_Toc226577326"/>
      <w:r>
        <w:rPr>
          <w:rFonts w:asciiTheme="minorBidi" w:hAnsiTheme="minorBidi" w:cstheme="minorBidi"/>
          <w:b/>
          <w:bCs/>
          <w:color w:val="0D0D0D" w:themeColor="text1" w:themeTint="F2"/>
          <w:sz w:val="24"/>
          <w:szCs w:val="24"/>
        </w:rPr>
        <w:t>Facteur de risque</w:t>
      </w:r>
      <w:bookmarkEnd w:id="31"/>
    </w:p>
    <w:p w14:paraId="6F976F0D"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Entre 6 et 21 % des patients présentant un DKA ont un diagnostic initial de diabète de type 1 ou 2, parfois associé à des antécédents familiaux. Les facteurs les plus fréquemment retrouvés sont les infections (14–58 %), les maladies intercurrentes, le stress psychologique, ainsi que l’omission ou l’insuffisance du traitement par insuline, on retrouve également d’autres conditions incluant : l’AVC, la pancréatite, l’embolie pulmonaire, l’infarctus du myocarde, le trauma, les événements vasculaires, la consom</w:t>
      </w:r>
      <w:r>
        <w:rPr>
          <w:rFonts w:asciiTheme="minorBidi" w:hAnsiTheme="minorBidi"/>
          <w:sz w:val="24"/>
          <w:szCs w:val="24"/>
        </w:rPr>
        <w:t>mation excessive d’alcool, l’usage de drogues illicites (cocaïne, méthamphétamine) et certains antipsychotiques (clozapine, rispéridone, olanzapine). (</w:t>
      </w:r>
      <w:r>
        <w:rPr>
          <w:rFonts w:asciiTheme="minorBidi" w:hAnsiTheme="minorBidi"/>
          <w:b/>
          <w:bCs/>
          <w:sz w:val="24"/>
          <w:szCs w:val="24"/>
        </w:rPr>
        <w:t>Tableau 04</w:t>
      </w:r>
      <w:r>
        <w:rPr>
          <w:rFonts w:asciiTheme="minorBidi" w:hAnsiTheme="minorBidi"/>
          <w:sz w:val="24"/>
          <w:szCs w:val="24"/>
        </w:rPr>
        <w:t xml:space="preserve">). </w:t>
      </w:r>
      <w:sdt>
        <w:sdtPr>
          <w:rPr>
            <w:rFonts w:asciiTheme="minorBidi" w:hAnsiTheme="minorBidi"/>
            <w:b/>
            <w:bCs/>
            <w:sz w:val="24"/>
            <w:szCs w:val="24"/>
          </w:rPr>
          <w:id w:val="-190644991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(Elendu,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209905034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(Umpierrez GE, 2024)</w:t>
          </w:r>
          <w:r>
            <w:rPr>
              <w:rFonts w:asciiTheme="minorBidi" w:hAnsiTheme="minorBidi"/>
              <w:b/>
              <w:bCs/>
              <w:sz w:val="24"/>
              <w:szCs w:val="24"/>
            </w:rPr>
            <w:fldChar w:fldCharType="end"/>
          </w:r>
        </w:sdtContent>
      </w:sdt>
    </w:p>
    <w:p w14:paraId="1F8C27E2" w14:textId="77777777" w:rsidR="00502BB2" w:rsidRDefault="0069123E">
      <w:pPr>
        <w:spacing w:line="360" w:lineRule="auto"/>
        <w:jc w:val="both"/>
        <w:rPr>
          <w:rFonts w:asciiTheme="minorBidi" w:hAnsiTheme="minorBidi"/>
          <w:sz w:val="24"/>
          <w:szCs w:val="24"/>
        </w:rPr>
      </w:pPr>
      <w:r>
        <w:rPr>
          <w:rFonts w:asciiTheme="minorBidi" w:hAnsiTheme="minorBidi"/>
          <w:sz w:val="24"/>
          <w:szCs w:val="24"/>
        </w:rPr>
        <w:t>Les inhibiteurs du cotransporteur sodium/glucose 2 (SGLT2) ont également été associés à une augmentation du risque de récidive du DKA.</w:t>
      </w:r>
      <w:sdt>
        <w:sdtPr>
          <w:rPr>
            <w:rFonts w:asciiTheme="minorBidi" w:hAnsiTheme="minorBidi"/>
            <w:b/>
            <w:bCs/>
            <w:sz w:val="24"/>
            <w:szCs w:val="24"/>
          </w:rPr>
          <w:id w:val="207523244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 xml:space="preserve"> (Umpierrez GE, 2024)</w:t>
          </w:r>
          <w:r>
            <w:rPr>
              <w:rFonts w:asciiTheme="minorBidi" w:hAnsiTheme="minorBidi"/>
              <w:b/>
              <w:bCs/>
              <w:sz w:val="24"/>
              <w:szCs w:val="24"/>
            </w:rPr>
            <w:fldChar w:fldCharType="end"/>
          </w:r>
        </w:sdtContent>
      </w:sdt>
    </w:p>
    <w:p w14:paraId="5EE2BAC7" w14:textId="07921752" w:rsidR="00502BB2" w:rsidRDefault="0069123E">
      <w:pPr>
        <w:pStyle w:val="Caption"/>
        <w:keepNext/>
      </w:pPr>
      <w:bookmarkStart w:id="32" w:name="_Toc226577299"/>
      <w:r>
        <w:rPr>
          <w:rFonts w:asciiTheme="minorBidi" w:hAnsiTheme="minorBidi"/>
          <w:b/>
          <w:bCs/>
          <w:sz w:val="24"/>
          <w:szCs w:val="24"/>
        </w:rPr>
        <w:lastRenderedPageBreak/>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4</w:t>
      </w:r>
      <w:r>
        <w:rPr>
          <w:rFonts w:asciiTheme="minorBidi" w:hAnsiTheme="minorBidi"/>
          <w:b/>
          <w:bCs/>
          <w:sz w:val="24"/>
          <w:szCs w:val="24"/>
        </w:rPr>
        <w:fldChar w:fldCharType="end"/>
      </w:r>
      <w:r>
        <w:rPr>
          <w:rFonts w:asciiTheme="minorBidi" w:hAnsiTheme="minorBidi"/>
          <w:sz w:val="24"/>
          <w:szCs w:val="24"/>
        </w:rPr>
        <w:t xml:space="preserve"> : Facteurs associés au DKA</w:t>
      </w:r>
      <w:r>
        <w:rPr>
          <w:sz w:val="24"/>
          <w:szCs w:val="24"/>
        </w:rPr>
        <w:t>.</w:t>
      </w:r>
      <w:r>
        <w:t xml:space="preserve"> </w:t>
      </w:r>
      <w:sdt>
        <w:sdtPr>
          <w:rPr>
            <w:rFonts w:asciiTheme="minorBidi" w:hAnsiTheme="minorBidi"/>
            <w:b/>
            <w:bCs/>
            <w:sz w:val="24"/>
            <w:szCs w:val="24"/>
          </w:rPr>
          <w:id w:val="147525225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 xml:space="preserve"> (Umpierrez GE, 2024)</w:t>
          </w:r>
          <w:r>
            <w:rPr>
              <w:rFonts w:asciiTheme="minorBidi" w:hAnsiTheme="minorBidi"/>
              <w:b/>
              <w:bCs/>
              <w:sz w:val="24"/>
              <w:szCs w:val="24"/>
            </w:rPr>
            <w:fldChar w:fldCharType="end"/>
          </w:r>
        </w:sdtContent>
      </w:sdt>
      <w:bookmarkEnd w:id="32"/>
    </w:p>
    <w:tbl>
      <w:tblPr>
        <w:tblStyle w:val="PlainTable51"/>
        <w:tblW w:w="0" w:type="auto"/>
        <w:shd w:val="clear" w:color="auto" w:fill="F2F2F2" w:themeFill="background1" w:themeFillShade="F2"/>
        <w:tblLook w:val="04A0" w:firstRow="1" w:lastRow="0" w:firstColumn="1" w:lastColumn="0" w:noHBand="0" w:noVBand="1"/>
      </w:tblPr>
      <w:tblGrid>
        <w:gridCol w:w="5648"/>
        <w:gridCol w:w="1879"/>
        <w:gridCol w:w="1879"/>
      </w:tblGrid>
      <w:tr w:rsidR="00502BB2" w14:paraId="6EBB9EAB" w14:textId="77777777" w:rsidTr="00502B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F2F2F2" w:themeFill="background1" w:themeFillShade="F2"/>
          </w:tcPr>
          <w:p w14:paraId="3B244E8B"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Facteurs de risque</w:t>
            </w:r>
          </w:p>
        </w:tc>
        <w:tc>
          <w:tcPr>
            <w:tcW w:w="0" w:type="auto"/>
            <w:shd w:val="clear" w:color="auto" w:fill="F2F2F2" w:themeFill="background1" w:themeFillShade="F2"/>
          </w:tcPr>
          <w:p w14:paraId="7AE5F3B3"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Diabète de type 1</w:t>
            </w:r>
          </w:p>
        </w:tc>
        <w:tc>
          <w:tcPr>
            <w:tcW w:w="0" w:type="auto"/>
            <w:shd w:val="clear" w:color="auto" w:fill="F2F2F2" w:themeFill="background1" w:themeFillShade="F2"/>
          </w:tcPr>
          <w:p w14:paraId="62C3059F"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Diabète de type 2</w:t>
            </w:r>
          </w:p>
        </w:tc>
      </w:tr>
      <w:tr w:rsidR="00502BB2" w14:paraId="790B8622"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EC2F444"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Jeune âge</w:t>
            </w:r>
          </w:p>
        </w:tc>
        <w:tc>
          <w:tcPr>
            <w:tcW w:w="0" w:type="auto"/>
            <w:shd w:val="clear" w:color="auto" w:fill="F2F2F2" w:themeFill="background1" w:themeFillShade="F2"/>
          </w:tcPr>
          <w:p w14:paraId="0821AF2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0F48DB2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1FCB050F"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A25BDF0"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Antécédents de crises hyperglycémiques</w:t>
            </w:r>
          </w:p>
        </w:tc>
        <w:tc>
          <w:tcPr>
            <w:tcW w:w="0" w:type="auto"/>
            <w:shd w:val="clear" w:color="auto" w:fill="F2F2F2" w:themeFill="background1" w:themeFillShade="F2"/>
          </w:tcPr>
          <w:p w14:paraId="24F47622"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5164B6F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64449AE5"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A8DCB31"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Antécédents de crises hypoglycémiques</w:t>
            </w:r>
          </w:p>
        </w:tc>
        <w:tc>
          <w:tcPr>
            <w:tcW w:w="0" w:type="auto"/>
            <w:shd w:val="clear" w:color="auto" w:fill="F2F2F2" w:themeFill="background1" w:themeFillShade="F2"/>
          </w:tcPr>
          <w:p w14:paraId="3CB9003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204A7A5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1377E864"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6F738FB"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HbA1c élevée</w:t>
            </w:r>
          </w:p>
        </w:tc>
        <w:tc>
          <w:tcPr>
            <w:tcW w:w="0" w:type="auto"/>
            <w:shd w:val="clear" w:color="auto" w:fill="F2F2F2" w:themeFill="background1" w:themeFillShade="F2"/>
          </w:tcPr>
          <w:p w14:paraId="4551BD5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6BD9895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4B4E4BA8"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A1B06F0"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Déterminants sociaux de santé (SDOH)</w:t>
            </w:r>
          </w:p>
        </w:tc>
        <w:tc>
          <w:tcPr>
            <w:tcW w:w="0" w:type="auto"/>
            <w:shd w:val="clear" w:color="auto" w:fill="F2F2F2" w:themeFill="background1" w:themeFillShade="F2"/>
          </w:tcPr>
          <w:p w14:paraId="79E6116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0A35C189"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569E5D24"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5B9504A"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Maladie rénale</w:t>
            </w:r>
          </w:p>
        </w:tc>
        <w:tc>
          <w:tcPr>
            <w:tcW w:w="0" w:type="auto"/>
            <w:shd w:val="clear" w:color="auto" w:fill="F2F2F2" w:themeFill="background1" w:themeFillShade="F2"/>
          </w:tcPr>
          <w:p w14:paraId="0149DBB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097E8AC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r>
      <w:tr w:rsidR="00502BB2" w14:paraId="39D48044"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4680E8D"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Neuropathie</w:t>
            </w:r>
          </w:p>
        </w:tc>
        <w:tc>
          <w:tcPr>
            <w:tcW w:w="0" w:type="auto"/>
            <w:shd w:val="clear" w:color="auto" w:fill="F2F2F2" w:themeFill="background1" w:themeFillShade="F2"/>
          </w:tcPr>
          <w:p w14:paraId="7702F88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48066EC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r>
      <w:tr w:rsidR="00502BB2" w14:paraId="356C17AC"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8497E7B"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Dépression</w:t>
            </w:r>
          </w:p>
        </w:tc>
        <w:tc>
          <w:tcPr>
            <w:tcW w:w="0" w:type="auto"/>
            <w:shd w:val="clear" w:color="auto" w:fill="F2F2F2" w:themeFill="background1" w:themeFillShade="F2"/>
          </w:tcPr>
          <w:p w14:paraId="2685FCF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7D475A9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r>
      <w:tr w:rsidR="00502BB2" w14:paraId="30A9FF64"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ED4E4D9"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Tabagisme</w:t>
            </w:r>
          </w:p>
        </w:tc>
        <w:tc>
          <w:tcPr>
            <w:tcW w:w="0" w:type="auto"/>
            <w:shd w:val="clear" w:color="auto" w:fill="F2F2F2" w:themeFill="background1" w:themeFillShade="F2"/>
          </w:tcPr>
          <w:p w14:paraId="185C17A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200310D8"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r>
      <w:tr w:rsidR="00502BB2" w14:paraId="4918C348"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4B77FC4"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Consommation d’alcool</w:t>
            </w:r>
          </w:p>
        </w:tc>
        <w:tc>
          <w:tcPr>
            <w:tcW w:w="0" w:type="auto"/>
            <w:shd w:val="clear" w:color="auto" w:fill="F2F2F2" w:themeFill="background1" w:themeFillShade="F2"/>
          </w:tcPr>
          <w:p w14:paraId="0EAD2CE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24A0D50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r>
      <w:tr w:rsidR="00502BB2" w14:paraId="2144D42B"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6089046"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Usage de substances</w:t>
            </w:r>
          </w:p>
        </w:tc>
        <w:tc>
          <w:tcPr>
            <w:tcW w:w="0" w:type="auto"/>
            <w:shd w:val="clear" w:color="auto" w:fill="F2F2F2" w:themeFill="background1" w:themeFillShade="F2"/>
          </w:tcPr>
          <w:p w14:paraId="2193B59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3AA9DB0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r>
      <w:tr w:rsidR="00502BB2" w14:paraId="227ACB7D"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88C3EAD"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Comorbidités (liées ou non au diabète)</w:t>
            </w:r>
          </w:p>
        </w:tc>
        <w:tc>
          <w:tcPr>
            <w:tcW w:w="0" w:type="auto"/>
            <w:shd w:val="clear" w:color="auto" w:fill="F2F2F2" w:themeFill="background1" w:themeFillShade="F2"/>
          </w:tcPr>
          <w:p w14:paraId="674D5082"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c>
          <w:tcPr>
            <w:tcW w:w="0" w:type="auto"/>
            <w:shd w:val="clear" w:color="auto" w:fill="F2F2F2" w:themeFill="background1" w:themeFillShade="F2"/>
          </w:tcPr>
          <w:p w14:paraId="1C16670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2D40CD50"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BDD3561"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Faible revenu</w:t>
            </w:r>
          </w:p>
        </w:tc>
        <w:tc>
          <w:tcPr>
            <w:tcW w:w="0" w:type="auto"/>
            <w:shd w:val="clear" w:color="auto" w:fill="F2F2F2" w:themeFill="background1" w:themeFillShade="F2"/>
          </w:tcPr>
          <w:p w14:paraId="5055A23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003C882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77ACF56B"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A113AED"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Déprivation socio-territoriale</w:t>
            </w:r>
          </w:p>
        </w:tc>
        <w:tc>
          <w:tcPr>
            <w:tcW w:w="0" w:type="auto"/>
            <w:shd w:val="clear" w:color="auto" w:fill="F2F2F2" w:themeFill="background1" w:themeFillShade="F2"/>
          </w:tcPr>
          <w:p w14:paraId="720E552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2AE6EA08"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548FD6E9"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14FF2C5"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Insécurité du logement</w:t>
            </w:r>
          </w:p>
        </w:tc>
        <w:tc>
          <w:tcPr>
            <w:tcW w:w="0" w:type="auto"/>
            <w:shd w:val="clear" w:color="auto" w:fill="F2F2F2" w:themeFill="background1" w:themeFillShade="F2"/>
          </w:tcPr>
          <w:p w14:paraId="332154C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20BED8C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4D11CAE1"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D348974"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Absence d’assurance ou sous-assurance</w:t>
            </w:r>
          </w:p>
        </w:tc>
        <w:tc>
          <w:tcPr>
            <w:tcW w:w="0" w:type="auto"/>
            <w:shd w:val="clear" w:color="auto" w:fill="F2F2F2" w:themeFill="background1" w:themeFillShade="F2"/>
          </w:tcPr>
          <w:p w14:paraId="5389F4B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6E7D041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258147A2"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EA0F753"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Insécurité alimentaire</w:t>
            </w:r>
          </w:p>
        </w:tc>
        <w:tc>
          <w:tcPr>
            <w:tcW w:w="0" w:type="auto"/>
            <w:shd w:val="clear" w:color="auto" w:fill="F2F2F2" w:themeFill="background1" w:themeFillShade="F2"/>
          </w:tcPr>
          <w:p w14:paraId="403CFFF9"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c>
          <w:tcPr>
            <w:tcW w:w="0" w:type="auto"/>
            <w:shd w:val="clear" w:color="auto" w:fill="F2F2F2" w:themeFill="background1" w:themeFillShade="F2"/>
          </w:tcPr>
          <w:p w14:paraId="7F34BE9B"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r w:rsidR="00502BB2" w14:paraId="55FCFAD9"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BA5C720"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Troubles de santé mentale (associés aux récidives de DKA)</w:t>
            </w:r>
          </w:p>
        </w:tc>
        <w:tc>
          <w:tcPr>
            <w:tcW w:w="0" w:type="auto"/>
            <w:shd w:val="clear" w:color="auto" w:fill="F2F2F2" w:themeFill="background1" w:themeFillShade="F2"/>
          </w:tcPr>
          <w:p w14:paraId="51D4F61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c>
          <w:tcPr>
            <w:tcW w:w="0" w:type="auto"/>
            <w:shd w:val="clear" w:color="auto" w:fill="F2F2F2" w:themeFill="background1" w:themeFillShade="F2"/>
          </w:tcPr>
          <w:p w14:paraId="71F16D5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Segoe UI Symbol" w:hAnsi="Segoe UI Symbol" w:cs="Segoe UI Symbol"/>
                <w:sz w:val="24"/>
                <w:szCs w:val="24"/>
              </w:rPr>
              <w:t>✓</w:t>
            </w:r>
          </w:p>
        </w:tc>
      </w:tr>
    </w:tbl>
    <w:p w14:paraId="65303910" w14:textId="77777777" w:rsidR="00502BB2" w:rsidRDefault="00502BB2">
      <w:pPr>
        <w:spacing w:line="360" w:lineRule="auto"/>
        <w:rPr>
          <w:rFonts w:asciiTheme="minorBidi" w:hAnsiTheme="minorBidi"/>
          <w:b/>
          <w:bCs/>
          <w:sz w:val="24"/>
          <w:szCs w:val="24"/>
        </w:rPr>
      </w:pPr>
    </w:p>
    <w:p w14:paraId="0609F9AD" w14:textId="77777777" w:rsidR="00502BB2" w:rsidRDefault="0069123E">
      <w:pPr>
        <w:pStyle w:val="Heading3"/>
        <w:numPr>
          <w:ilvl w:val="0"/>
          <w:numId w:val="6"/>
        </w:numPr>
        <w:rPr>
          <w:rFonts w:asciiTheme="minorBidi" w:hAnsiTheme="minorBidi" w:cstheme="minorBidi"/>
          <w:b/>
          <w:bCs/>
          <w:color w:val="0D0D0D" w:themeColor="text1" w:themeTint="F2"/>
          <w:sz w:val="24"/>
          <w:szCs w:val="24"/>
        </w:rPr>
      </w:pPr>
      <w:bookmarkStart w:id="33" w:name="_Toc226577327"/>
      <w:r>
        <w:rPr>
          <w:rFonts w:asciiTheme="minorBidi" w:hAnsiTheme="minorBidi" w:cstheme="minorBidi"/>
          <w:b/>
          <w:bCs/>
          <w:color w:val="0D0D0D" w:themeColor="text1" w:themeTint="F2"/>
          <w:sz w:val="24"/>
          <w:szCs w:val="24"/>
        </w:rPr>
        <w:t>Diagnostique</w:t>
      </w:r>
      <w:bookmarkEnd w:id="33"/>
    </w:p>
    <w:p w14:paraId="47BC13AD"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Plusieurs paramètres diagnostiques physiologiques, chimiques et physiques sont proposés pour déterminer la présence d’un DKA et la sévérité de ce dernier. </w:t>
      </w:r>
    </w:p>
    <w:p w14:paraId="154BA5AC"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lastRenderedPageBreak/>
        <w:t xml:space="preserve">Le diagnostic repose sur l’association d’une hyperglycémie, d’une cétonémie et d’une acidose métabolique à trou anionique augmenté. Il fait également intervenir manifestations cliniques incluant les nausées, vomissements, douleurs abdominales, polyurie, polydipsie et déshydratation. La prise de médicaments tels que les glucocorticoïdes, les thiazides et certains antipsychotiques, qui tendent à élever l’hyperglycémie, peut être retrouvée </w:t>
      </w:r>
      <w:r>
        <w:rPr>
          <w:rFonts w:asciiTheme="minorBidi" w:hAnsiTheme="minorBidi"/>
          <w:b/>
          <w:bCs/>
          <w:sz w:val="24"/>
          <w:szCs w:val="24"/>
        </w:rPr>
        <w:t>(Tableau 05).</w:t>
      </w:r>
      <w:sdt>
        <w:sdtPr>
          <w:rPr>
            <w:rFonts w:asciiTheme="minorBidi" w:hAnsiTheme="minorBidi"/>
            <w:b/>
            <w:bCs/>
            <w:sz w:val="24"/>
            <w:szCs w:val="24"/>
          </w:rPr>
          <w:id w:val="208279977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65958069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(Umpierrez GE, 2024)</w:t>
          </w:r>
          <w:r>
            <w:rPr>
              <w:rFonts w:asciiTheme="minorBidi" w:hAnsiTheme="minorBidi"/>
              <w:b/>
              <w:bCs/>
              <w:sz w:val="24"/>
              <w:szCs w:val="24"/>
            </w:rPr>
            <w:fldChar w:fldCharType="end"/>
          </w:r>
        </w:sdtContent>
      </w:sdt>
    </w:p>
    <w:p w14:paraId="121F7873"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L’examen physique peut révéler des signes de déshydratation (diminution de la turgescence cutanée, hypotension orthostatique), une respiration de Kussmaul ( une hyperventilation visant à compenser une acidose métabolique sévère) et une haleine fruitée liée à l’acétone, ainsi que différents facteurs infectieux ou cardiovasculaires, des altérations de l’état mental peuvent être observées ou une hypotension et une tachycardie peuvent être présentes dans les formes sévères.</w:t>
      </w:r>
      <w:sdt>
        <w:sdtPr>
          <w:rPr>
            <w:rFonts w:asciiTheme="minorBidi" w:hAnsiTheme="minorBidi"/>
            <w:sz w:val="24"/>
            <w:szCs w:val="24"/>
          </w:rPr>
          <w:id w:val="866101228"/>
        </w:sdtPr>
        <w:sdtEndPr>
          <w:rPr>
            <w:b/>
            <w:bCs/>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22691727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 xml:space="preserve"> (Umpierrez GE, 2024)</w:t>
          </w:r>
          <w:r>
            <w:rPr>
              <w:rFonts w:asciiTheme="minorBidi" w:hAnsiTheme="minorBidi"/>
              <w:b/>
              <w:bCs/>
              <w:sz w:val="24"/>
              <w:szCs w:val="24"/>
            </w:rPr>
            <w:fldChar w:fldCharType="end"/>
          </w:r>
        </w:sdtContent>
      </w:sdt>
    </w:p>
    <w:p w14:paraId="5C5C99C2"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sévérité de cette pathologie peut varier d’un état modéré à sévère, se caractérisant par des épisodes de divers symptômes tels que fatigue, léthargie, diminution de l’appétit ou céphalées. La glycémie isolée ou la douleur abdominale ne permettent pas d’affirmer le diagnostic.</w:t>
      </w:r>
      <w:sdt>
        <w:sdtPr>
          <w:rPr>
            <w:rFonts w:asciiTheme="minorBidi" w:hAnsiTheme="minorBidi"/>
            <w:b/>
            <w:bCs/>
            <w:sz w:val="24"/>
            <w:szCs w:val="24"/>
          </w:rPr>
          <w:id w:val="-204643784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67839A57" w14:textId="72892DAB" w:rsidR="00502BB2" w:rsidRDefault="0069123E">
      <w:pPr>
        <w:pStyle w:val="Caption"/>
        <w:keepNext/>
      </w:pPr>
      <w:bookmarkStart w:id="34" w:name="_Toc226577300"/>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5</w:t>
      </w:r>
      <w:r>
        <w:rPr>
          <w:rFonts w:asciiTheme="minorBidi" w:hAnsiTheme="minorBidi"/>
          <w:b/>
          <w:bCs/>
          <w:sz w:val="24"/>
          <w:szCs w:val="24"/>
        </w:rPr>
        <w:fldChar w:fldCharType="end"/>
      </w:r>
      <w:r>
        <w:rPr>
          <w:rFonts w:asciiTheme="minorBidi" w:hAnsiTheme="minorBidi"/>
          <w:sz w:val="24"/>
          <w:szCs w:val="24"/>
        </w:rPr>
        <w:t xml:space="preserve"> : Critères de diagnostic et sévérité du DKA</w:t>
      </w:r>
      <w:r>
        <w:t xml:space="preserve">. </w:t>
      </w:r>
      <w:sdt>
        <w:sdtPr>
          <w:rPr>
            <w:rFonts w:asciiTheme="minorBidi" w:hAnsiTheme="minorBidi"/>
            <w:b/>
            <w:bCs/>
            <w:sz w:val="24"/>
            <w:szCs w:val="24"/>
          </w:rPr>
          <w:id w:val="-47884420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bookmarkEnd w:id="34"/>
    </w:p>
    <w:tbl>
      <w:tblPr>
        <w:tblStyle w:val="PlainTable51"/>
        <w:tblW w:w="0" w:type="auto"/>
        <w:jc w:val="center"/>
        <w:shd w:val="clear" w:color="auto" w:fill="F2F2F2" w:themeFill="background1" w:themeFillShade="F2"/>
        <w:tblLook w:val="04A0" w:firstRow="1" w:lastRow="0" w:firstColumn="1" w:lastColumn="0" w:noHBand="0" w:noVBand="1"/>
      </w:tblPr>
      <w:tblGrid>
        <w:gridCol w:w="2631"/>
        <w:gridCol w:w="1284"/>
        <w:gridCol w:w="2338"/>
        <w:gridCol w:w="1844"/>
      </w:tblGrid>
      <w:tr w:rsidR="00502BB2" w14:paraId="308B73BF" w14:textId="77777777" w:rsidTr="00502BB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F2F2F2" w:themeFill="background1" w:themeFillShade="F2"/>
          </w:tcPr>
          <w:p w14:paraId="3EC4E6E7"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Paramètre</w:t>
            </w:r>
          </w:p>
        </w:tc>
        <w:tc>
          <w:tcPr>
            <w:tcW w:w="0" w:type="auto"/>
            <w:shd w:val="clear" w:color="auto" w:fill="F2F2F2" w:themeFill="background1" w:themeFillShade="F2"/>
          </w:tcPr>
          <w:p w14:paraId="22DB09F5"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Légère</w:t>
            </w:r>
          </w:p>
        </w:tc>
        <w:tc>
          <w:tcPr>
            <w:tcW w:w="0" w:type="auto"/>
            <w:shd w:val="clear" w:color="auto" w:fill="F2F2F2" w:themeFill="background1" w:themeFillShade="F2"/>
          </w:tcPr>
          <w:p w14:paraId="4819ADE8"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Modérée</w:t>
            </w:r>
          </w:p>
        </w:tc>
        <w:tc>
          <w:tcPr>
            <w:tcW w:w="0" w:type="auto"/>
            <w:shd w:val="clear" w:color="auto" w:fill="F2F2F2" w:themeFill="background1" w:themeFillShade="F2"/>
          </w:tcPr>
          <w:p w14:paraId="1C317613"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Sévère</w:t>
            </w:r>
          </w:p>
        </w:tc>
      </w:tr>
      <w:tr w:rsidR="00502BB2" w14:paraId="55F90BC3"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0E42CBE"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Glycémie (</w:t>
            </w:r>
            <w:proofErr w:type="spellStart"/>
            <w:r>
              <w:rPr>
                <w:rFonts w:asciiTheme="minorBidi" w:hAnsiTheme="minorBidi"/>
                <w:sz w:val="24"/>
                <w:szCs w:val="24"/>
              </w:rPr>
              <w:t>mmol</w:t>
            </w:r>
            <w:proofErr w:type="spellEnd"/>
            <w:r>
              <w:rPr>
                <w:rFonts w:asciiTheme="minorBidi" w:hAnsiTheme="minorBidi"/>
                <w:sz w:val="24"/>
                <w:szCs w:val="24"/>
              </w:rPr>
              <w:t>/L)</w:t>
            </w:r>
          </w:p>
        </w:tc>
        <w:tc>
          <w:tcPr>
            <w:tcW w:w="0" w:type="auto"/>
            <w:shd w:val="clear" w:color="auto" w:fill="F2F2F2" w:themeFill="background1" w:themeFillShade="F2"/>
          </w:tcPr>
          <w:p w14:paraId="7C95645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&gt;13,9</w:t>
            </w:r>
          </w:p>
        </w:tc>
        <w:tc>
          <w:tcPr>
            <w:tcW w:w="0" w:type="auto"/>
            <w:shd w:val="clear" w:color="auto" w:fill="F2F2F2" w:themeFill="background1" w:themeFillShade="F2"/>
          </w:tcPr>
          <w:p w14:paraId="0A3840F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&gt;13,9</w:t>
            </w:r>
          </w:p>
        </w:tc>
        <w:tc>
          <w:tcPr>
            <w:tcW w:w="0" w:type="auto"/>
            <w:shd w:val="clear" w:color="auto" w:fill="F2F2F2" w:themeFill="background1" w:themeFillShade="F2"/>
          </w:tcPr>
          <w:p w14:paraId="2B2217D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&gt;13,9</w:t>
            </w:r>
          </w:p>
        </w:tc>
      </w:tr>
      <w:tr w:rsidR="00502BB2" w14:paraId="51AA8F64"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E451952"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pH artériel</w:t>
            </w:r>
          </w:p>
        </w:tc>
        <w:tc>
          <w:tcPr>
            <w:tcW w:w="0" w:type="auto"/>
            <w:shd w:val="clear" w:color="auto" w:fill="F2F2F2" w:themeFill="background1" w:themeFillShade="F2"/>
          </w:tcPr>
          <w:p w14:paraId="4BE944B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7,25–7,30</w:t>
            </w:r>
          </w:p>
        </w:tc>
        <w:tc>
          <w:tcPr>
            <w:tcW w:w="0" w:type="auto"/>
            <w:shd w:val="clear" w:color="auto" w:fill="F2F2F2" w:themeFill="background1" w:themeFillShade="F2"/>
          </w:tcPr>
          <w:p w14:paraId="4EFD155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7,00–7,24</w:t>
            </w:r>
          </w:p>
        </w:tc>
        <w:tc>
          <w:tcPr>
            <w:tcW w:w="0" w:type="auto"/>
            <w:shd w:val="clear" w:color="auto" w:fill="F2F2F2" w:themeFill="background1" w:themeFillShade="F2"/>
          </w:tcPr>
          <w:p w14:paraId="5E2878A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&lt;7,00</w:t>
            </w:r>
          </w:p>
        </w:tc>
      </w:tr>
      <w:tr w:rsidR="00502BB2" w14:paraId="74E4BF20"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74BC38D"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Bicarbonates (</w:t>
            </w:r>
            <w:proofErr w:type="spellStart"/>
            <w:r>
              <w:rPr>
                <w:rFonts w:asciiTheme="minorBidi" w:hAnsiTheme="minorBidi"/>
                <w:sz w:val="24"/>
                <w:szCs w:val="24"/>
              </w:rPr>
              <w:t>mmol</w:t>
            </w:r>
            <w:proofErr w:type="spellEnd"/>
            <w:r>
              <w:rPr>
                <w:rFonts w:asciiTheme="minorBidi" w:hAnsiTheme="minorBidi"/>
                <w:sz w:val="24"/>
                <w:szCs w:val="24"/>
              </w:rPr>
              <w:t>/L)</w:t>
            </w:r>
          </w:p>
        </w:tc>
        <w:tc>
          <w:tcPr>
            <w:tcW w:w="0" w:type="auto"/>
            <w:shd w:val="clear" w:color="auto" w:fill="F2F2F2" w:themeFill="background1" w:themeFillShade="F2"/>
          </w:tcPr>
          <w:p w14:paraId="5099B1F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15–18</w:t>
            </w:r>
          </w:p>
        </w:tc>
        <w:tc>
          <w:tcPr>
            <w:tcW w:w="0" w:type="auto"/>
            <w:shd w:val="clear" w:color="auto" w:fill="F2F2F2" w:themeFill="background1" w:themeFillShade="F2"/>
          </w:tcPr>
          <w:p w14:paraId="334E38D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10–14,9</w:t>
            </w:r>
          </w:p>
        </w:tc>
        <w:tc>
          <w:tcPr>
            <w:tcW w:w="0" w:type="auto"/>
            <w:shd w:val="clear" w:color="auto" w:fill="F2F2F2" w:themeFill="background1" w:themeFillShade="F2"/>
          </w:tcPr>
          <w:p w14:paraId="5AE7423B"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&lt;10</w:t>
            </w:r>
          </w:p>
        </w:tc>
      </w:tr>
      <w:tr w:rsidR="00502BB2" w14:paraId="27917F38"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6852BD6"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Cétones urinaires</w:t>
            </w:r>
          </w:p>
        </w:tc>
        <w:tc>
          <w:tcPr>
            <w:tcW w:w="0" w:type="auto"/>
            <w:shd w:val="clear" w:color="auto" w:fill="F2F2F2" w:themeFill="background1" w:themeFillShade="F2"/>
          </w:tcPr>
          <w:p w14:paraId="3DEF51F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c>
          <w:tcPr>
            <w:tcW w:w="0" w:type="auto"/>
            <w:shd w:val="clear" w:color="auto" w:fill="F2F2F2" w:themeFill="background1" w:themeFillShade="F2"/>
          </w:tcPr>
          <w:p w14:paraId="2127299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c>
          <w:tcPr>
            <w:tcW w:w="0" w:type="auto"/>
            <w:shd w:val="clear" w:color="auto" w:fill="F2F2F2" w:themeFill="background1" w:themeFillShade="F2"/>
          </w:tcPr>
          <w:p w14:paraId="7672A78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r>
      <w:tr w:rsidR="00502BB2" w14:paraId="451504F9"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3CA6262"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Cétones sériques</w:t>
            </w:r>
          </w:p>
        </w:tc>
        <w:tc>
          <w:tcPr>
            <w:tcW w:w="0" w:type="auto"/>
            <w:shd w:val="clear" w:color="auto" w:fill="F2F2F2" w:themeFill="background1" w:themeFillShade="F2"/>
          </w:tcPr>
          <w:p w14:paraId="562D17A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c>
          <w:tcPr>
            <w:tcW w:w="0" w:type="auto"/>
            <w:shd w:val="clear" w:color="auto" w:fill="F2F2F2" w:themeFill="background1" w:themeFillShade="F2"/>
          </w:tcPr>
          <w:p w14:paraId="1AF22C08"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c>
          <w:tcPr>
            <w:tcW w:w="0" w:type="auto"/>
            <w:shd w:val="clear" w:color="auto" w:fill="F2F2F2" w:themeFill="background1" w:themeFillShade="F2"/>
          </w:tcPr>
          <w:p w14:paraId="578FDCC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w:t>
            </w:r>
          </w:p>
        </w:tc>
      </w:tr>
      <w:tr w:rsidR="00502BB2" w14:paraId="46A5783B"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26CA005"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Trou anionique</w:t>
            </w:r>
          </w:p>
        </w:tc>
        <w:tc>
          <w:tcPr>
            <w:tcW w:w="0" w:type="auto"/>
            <w:shd w:val="clear" w:color="auto" w:fill="F2F2F2" w:themeFill="background1" w:themeFillShade="F2"/>
          </w:tcPr>
          <w:p w14:paraId="2C43B84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&gt;10</w:t>
            </w:r>
          </w:p>
        </w:tc>
        <w:tc>
          <w:tcPr>
            <w:tcW w:w="0" w:type="auto"/>
            <w:shd w:val="clear" w:color="auto" w:fill="F2F2F2" w:themeFill="background1" w:themeFillShade="F2"/>
          </w:tcPr>
          <w:p w14:paraId="3D027608"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&gt;12</w:t>
            </w:r>
          </w:p>
        </w:tc>
        <w:tc>
          <w:tcPr>
            <w:tcW w:w="0" w:type="auto"/>
            <w:shd w:val="clear" w:color="auto" w:fill="F2F2F2" w:themeFill="background1" w:themeFillShade="F2"/>
          </w:tcPr>
          <w:p w14:paraId="2276E7C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&gt;12</w:t>
            </w:r>
          </w:p>
        </w:tc>
      </w:tr>
      <w:tr w:rsidR="00502BB2" w14:paraId="16281EB9"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5025436"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État neurologique</w:t>
            </w:r>
          </w:p>
        </w:tc>
        <w:tc>
          <w:tcPr>
            <w:tcW w:w="0" w:type="auto"/>
            <w:shd w:val="clear" w:color="auto" w:fill="F2F2F2" w:themeFill="background1" w:themeFillShade="F2"/>
          </w:tcPr>
          <w:p w14:paraId="55658138"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Alerte</w:t>
            </w:r>
          </w:p>
        </w:tc>
        <w:tc>
          <w:tcPr>
            <w:tcW w:w="0" w:type="auto"/>
            <w:shd w:val="clear" w:color="auto" w:fill="F2F2F2" w:themeFill="background1" w:themeFillShade="F2"/>
          </w:tcPr>
          <w:p w14:paraId="321B26D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Alerte / somnolence</w:t>
            </w:r>
          </w:p>
        </w:tc>
        <w:tc>
          <w:tcPr>
            <w:tcW w:w="0" w:type="auto"/>
            <w:shd w:val="clear" w:color="auto" w:fill="F2F2F2" w:themeFill="background1" w:themeFillShade="F2"/>
          </w:tcPr>
          <w:p w14:paraId="56AF1792"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Stupeur / coma</w:t>
            </w:r>
          </w:p>
        </w:tc>
      </w:tr>
      <w:tr w:rsidR="00502BB2" w14:paraId="2F9A4944"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C2F5B27"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Sodium sérique</w:t>
            </w:r>
          </w:p>
        </w:tc>
        <w:tc>
          <w:tcPr>
            <w:tcW w:w="0" w:type="auto"/>
            <w:shd w:val="clear" w:color="auto" w:fill="F2F2F2" w:themeFill="background1" w:themeFillShade="F2"/>
          </w:tcPr>
          <w:p w14:paraId="5FC8A6A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Normal</w:t>
            </w:r>
          </w:p>
        </w:tc>
        <w:tc>
          <w:tcPr>
            <w:tcW w:w="0" w:type="auto"/>
            <w:shd w:val="clear" w:color="auto" w:fill="F2F2F2" w:themeFill="background1" w:themeFillShade="F2"/>
          </w:tcPr>
          <w:p w14:paraId="2FAD68E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Bas</w:t>
            </w:r>
          </w:p>
        </w:tc>
        <w:tc>
          <w:tcPr>
            <w:tcW w:w="0" w:type="auto"/>
            <w:shd w:val="clear" w:color="auto" w:fill="F2F2F2" w:themeFill="background1" w:themeFillShade="F2"/>
          </w:tcPr>
          <w:p w14:paraId="2A9EF7E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Bas</w:t>
            </w:r>
          </w:p>
        </w:tc>
      </w:tr>
      <w:tr w:rsidR="00502BB2" w14:paraId="661BDDD8"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CF98D72"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Potassium sérique</w:t>
            </w:r>
          </w:p>
        </w:tc>
        <w:tc>
          <w:tcPr>
            <w:tcW w:w="0" w:type="auto"/>
            <w:shd w:val="clear" w:color="auto" w:fill="F2F2F2" w:themeFill="background1" w:themeFillShade="F2"/>
          </w:tcPr>
          <w:p w14:paraId="1CB41CCB"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Normal</w:t>
            </w:r>
          </w:p>
        </w:tc>
        <w:tc>
          <w:tcPr>
            <w:tcW w:w="0" w:type="auto"/>
            <w:shd w:val="clear" w:color="auto" w:fill="F2F2F2" w:themeFill="background1" w:themeFillShade="F2"/>
          </w:tcPr>
          <w:p w14:paraId="44C14B12"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Élevé</w:t>
            </w:r>
          </w:p>
        </w:tc>
        <w:tc>
          <w:tcPr>
            <w:tcW w:w="0" w:type="auto"/>
            <w:shd w:val="clear" w:color="auto" w:fill="F2F2F2" w:themeFill="background1" w:themeFillShade="F2"/>
          </w:tcPr>
          <w:p w14:paraId="4669DBA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Élevé</w:t>
            </w:r>
          </w:p>
        </w:tc>
      </w:tr>
      <w:tr w:rsidR="00502BB2" w14:paraId="4B62963C"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61A9B4F"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Phosphate sérique</w:t>
            </w:r>
          </w:p>
        </w:tc>
        <w:tc>
          <w:tcPr>
            <w:tcW w:w="0" w:type="auto"/>
            <w:shd w:val="clear" w:color="auto" w:fill="F2F2F2" w:themeFill="background1" w:themeFillShade="F2"/>
          </w:tcPr>
          <w:p w14:paraId="55C4F87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Normal</w:t>
            </w:r>
          </w:p>
        </w:tc>
        <w:tc>
          <w:tcPr>
            <w:tcW w:w="0" w:type="auto"/>
            <w:shd w:val="clear" w:color="auto" w:fill="F2F2F2" w:themeFill="background1" w:themeFillShade="F2"/>
          </w:tcPr>
          <w:p w14:paraId="007DEEF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Élevé</w:t>
            </w:r>
          </w:p>
        </w:tc>
        <w:tc>
          <w:tcPr>
            <w:tcW w:w="0" w:type="auto"/>
            <w:shd w:val="clear" w:color="auto" w:fill="F2F2F2" w:themeFill="background1" w:themeFillShade="F2"/>
          </w:tcPr>
          <w:p w14:paraId="7A45308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Élevé</w:t>
            </w:r>
          </w:p>
        </w:tc>
      </w:tr>
    </w:tbl>
    <w:p w14:paraId="202A6B38" w14:textId="77777777" w:rsidR="00502BB2" w:rsidRDefault="00502BB2">
      <w:pPr>
        <w:spacing w:line="360" w:lineRule="auto"/>
        <w:rPr>
          <w:rFonts w:asciiTheme="minorBidi" w:hAnsiTheme="minorBidi"/>
          <w:sz w:val="24"/>
          <w:szCs w:val="24"/>
        </w:rPr>
      </w:pPr>
    </w:p>
    <w:p w14:paraId="165FFAA5" w14:textId="77777777" w:rsidR="00502BB2" w:rsidRDefault="0069123E">
      <w:pPr>
        <w:pStyle w:val="Heading3"/>
        <w:numPr>
          <w:ilvl w:val="0"/>
          <w:numId w:val="6"/>
        </w:numPr>
        <w:rPr>
          <w:rFonts w:asciiTheme="minorBidi" w:hAnsiTheme="minorBidi" w:cstheme="minorBidi"/>
          <w:b/>
          <w:bCs/>
          <w:color w:val="0D0D0D" w:themeColor="text1" w:themeTint="F2"/>
          <w:sz w:val="24"/>
          <w:szCs w:val="24"/>
        </w:rPr>
      </w:pPr>
      <w:bookmarkStart w:id="35" w:name="_Toc226577328"/>
      <w:r>
        <w:rPr>
          <w:rFonts w:asciiTheme="minorBidi" w:hAnsiTheme="minorBidi" w:cstheme="minorBidi"/>
          <w:b/>
          <w:bCs/>
          <w:color w:val="0D0D0D" w:themeColor="text1" w:themeTint="F2"/>
          <w:sz w:val="24"/>
          <w:szCs w:val="24"/>
        </w:rPr>
        <w:lastRenderedPageBreak/>
        <w:t>Traitements</w:t>
      </w:r>
      <w:bookmarkEnd w:id="35"/>
    </w:p>
    <w:p w14:paraId="7B1F415D"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prise en charge repose sur un traitement multidisciplinaire adapté à la sévérité, comprenant : la correction des fluides, restauration de la sensibilité et taux d’insuline, correction des déséquilibres électrolytiques, traitement des causes sous-jacentes, prévention des complications et la prise en charge nutritionnelle (</w:t>
      </w:r>
      <w:r>
        <w:rPr>
          <w:rFonts w:asciiTheme="minorBidi" w:hAnsiTheme="minorBidi"/>
          <w:b/>
          <w:bCs/>
          <w:sz w:val="24"/>
          <w:szCs w:val="24"/>
        </w:rPr>
        <w:t>tableau 06</w:t>
      </w:r>
      <w:r>
        <w:rPr>
          <w:rFonts w:asciiTheme="minorBidi" w:hAnsiTheme="minorBidi"/>
          <w:sz w:val="24"/>
          <w:szCs w:val="24"/>
        </w:rPr>
        <w:t>) ; (</w:t>
      </w:r>
      <w:r>
        <w:rPr>
          <w:rFonts w:asciiTheme="minorBidi" w:hAnsiTheme="minorBidi"/>
          <w:b/>
          <w:bCs/>
          <w:sz w:val="24"/>
          <w:szCs w:val="24"/>
        </w:rPr>
        <w:t>figure 11</w:t>
      </w:r>
      <w:r>
        <w:rPr>
          <w:rFonts w:asciiTheme="minorBidi" w:hAnsiTheme="minorBidi"/>
          <w:sz w:val="24"/>
          <w:szCs w:val="24"/>
        </w:rPr>
        <w:t>).</w:t>
      </w:r>
      <w:sdt>
        <w:sdtPr>
          <w:rPr>
            <w:rFonts w:asciiTheme="minorBidi" w:hAnsiTheme="minorBidi"/>
            <w:b/>
            <w:bCs/>
            <w:sz w:val="24"/>
            <w:szCs w:val="24"/>
          </w:rPr>
          <w:id w:val="194009847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46673938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(Umpierrez GE, 2024)</w:t>
          </w:r>
          <w:r>
            <w:rPr>
              <w:rFonts w:asciiTheme="minorBidi" w:hAnsiTheme="minorBidi"/>
              <w:b/>
              <w:bCs/>
              <w:sz w:val="24"/>
              <w:szCs w:val="24"/>
            </w:rPr>
            <w:fldChar w:fldCharType="end"/>
          </w:r>
        </w:sdtContent>
      </w:sdt>
    </w:p>
    <w:p w14:paraId="791B7A2D" w14:textId="0119F10F" w:rsidR="00502BB2" w:rsidRDefault="0069123E">
      <w:pPr>
        <w:pStyle w:val="Caption"/>
        <w:keepNext/>
      </w:pPr>
      <w:bookmarkStart w:id="36" w:name="_Toc226577301"/>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6</w:t>
      </w:r>
      <w:r>
        <w:rPr>
          <w:rFonts w:asciiTheme="minorBidi" w:hAnsiTheme="minorBidi"/>
          <w:b/>
          <w:bCs/>
          <w:sz w:val="24"/>
          <w:szCs w:val="24"/>
        </w:rPr>
        <w:fldChar w:fldCharType="end"/>
      </w:r>
      <w:r>
        <w:rPr>
          <w:rFonts w:asciiTheme="minorBidi" w:hAnsiTheme="minorBidi"/>
          <w:sz w:val="24"/>
          <w:szCs w:val="24"/>
        </w:rPr>
        <w:t xml:space="preserve"> : Traitements et managements des patients avec DKA</w:t>
      </w:r>
      <w:r>
        <w:t xml:space="preserve">. </w:t>
      </w:r>
      <w:sdt>
        <w:sdtPr>
          <w:rPr>
            <w:rFonts w:asciiTheme="minorBidi" w:hAnsiTheme="minorBidi"/>
            <w:b/>
            <w:bCs/>
            <w:sz w:val="24"/>
            <w:szCs w:val="24"/>
          </w:rPr>
          <w:id w:val="-188910021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bookmarkEnd w:id="36"/>
    </w:p>
    <w:tbl>
      <w:tblPr>
        <w:tblStyle w:val="PlainTable51"/>
        <w:tblW w:w="0" w:type="auto"/>
        <w:shd w:val="clear" w:color="auto" w:fill="F2F2F2" w:themeFill="background1" w:themeFillShade="F2"/>
        <w:tblLook w:val="04A0" w:firstRow="1" w:lastRow="0" w:firstColumn="1" w:lastColumn="0" w:noHBand="0" w:noVBand="1"/>
      </w:tblPr>
      <w:tblGrid>
        <w:gridCol w:w="2259"/>
        <w:gridCol w:w="7147"/>
      </w:tblGrid>
      <w:tr w:rsidR="00502BB2" w14:paraId="0E93E185" w14:textId="77777777" w:rsidTr="00502B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F2F2F2" w:themeFill="background1" w:themeFillShade="F2"/>
          </w:tcPr>
          <w:p w14:paraId="2E2B180B"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Volet thérapeutique</w:t>
            </w:r>
          </w:p>
        </w:tc>
        <w:tc>
          <w:tcPr>
            <w:tcW w:w="0" w:type="auto"/>
            <w:shd w:val="clear" w:color="auto" w:fill="F2F2F2" w:themeFill="background1" w:themeFillShade="F2"/>
          </w:tcPr>
          <w:p w14:paraId="46463609"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Détails de la prise en charge</w:t>
            </w:r>
          </w:p>
        </w:tc>
      </w:tr>
      <w:tr w:rsidR="00502BB2" w14:paraId="16CACD8E"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A3F7485"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Fluidothérapie</w:t>
            </w:r>
          </w:p>
        </w:tc>
        <w:tc>
          <w:tcPr>
            <w:tcW w:w="0" w:type="auto"/>
            <w:shd w:val="clear" w:color="auto" w:fill="F2F2F2" w:themeFill="background1" w:themeFillShade="F2"/>
          </w:tcPr>
          <w:p w14:paraId="4F65FDE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Déficit estimé ≈ 6 L d’eau corporelle totale. Solution saline isotonique 15–20 ml/kg/h ou 1–1,5 L durant la 1ère heure. Le choix ultérieur dépend de l’hydratation, des électrolytes sériques et de la diurèse. Remplacer environ la moitié du déficit hydrosodé sur 12–24 h. Hydratation initiée avant l’insuline pour permettre l’évaluation du potassium. Mécanismes de baisse glycémique : diurèse osmotique et modulation hormonale contre-régulatrice.</w:t>
            </w:r>
          </w:p>
        </w:tc>
      </w:tr>
      <w:tr w:rsidR="00502BB2" w14:paraId="707595E1"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D3C885D"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Insulinothérapie</w:t>
            </w:r>
          </w:p>
        </w:tc>
        <w:tc>
          <w:tcPr>
            <w:tcW w:w="0" w:type="auto"/>
            <w:shd w:val="clear" w:color="auto" w:fill="F2F2F2" w:themeFill="background1" w:themeFillShade="F2"/>
          </w:tcPr>
          <w:p w14:paraId="1648587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Bolus IV d’insuline régulière 0,1 U/kg puis perfusion continue 0,1 U/kg/h. Réduire à 0,05 U/kg/h lorsque la glycémie atteint 200–250 mg/dl. Ajuster la perfusion pour maintenir la glycémie cible. Administration IV continue recommandée (demi-vie courte, titration simple).</w:t>
            </w:r>
          </w:p>
        </w:tc>
      </w:tr>
      <w:tr w:rsidR="00502BB2" w14:paraId="4DFC4BAA"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A03C6BB"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Supplémentation en potassium</w:t>
            </w:r>
          </w:p>
        </w:tc>
        <w:tc>
          <w:tcPr>
            <w:tcW w:w="0" w:type="auto"/>
            <w:shd w:val="clear" w:color="auto" w:fill="F2F2F2" w:themeFill="background1" w:themeFillShade="F2"/>
          </w:tcPr>
          <w:p w14:paraId="2DEBE6A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Hyperkaliémie légère à modérée initiale possible (acidose + insulinopénie). L’insuline diminue la kaliémie. Correction de l’acidose, expansion volémique et supplémentation potassique débutées lorsque K</w:t>
            </w:r>
            <w:r>
              <w:rPr>
                <w:rFonts w:ascii="Cambria Math" w:hAnsi="Cambria Math" w:cs="Cambria Math"/>
                <w:sz w:val="24"/>
                <w:szCs w:val="24"/>
              </w:rPr>
              <w:t>⁺</w:t>
            </w:r>
            <w:r>
              <w:rPr>
                <w:rFonts w:asciiTheme="minorBidi" w:hAnsiTheme="minorBidi"/>
                <w:sz w:val="24"/>
                <w:szCs w:val="24"/>
              </w:rPr>
              <w:t xml:space="preserve"> &lt; 5,3 </w:t>
            </w:r>
            <w:proofErr w:type="spellStart"/>
            <w:r>
              <w:rPr>
                <w:rFonts w:asciiTheme="minorBidi" w:hAnsiTheme="minorBidi"/>
                <w:sz w:val="24"/>
                <w:szCs w:val="24"/>
              </w:rPr>
              <w:t>mmol</w:t>
            </w:r>
            <w:proofErr w:type="spellEnd"/>
            <w:r>
              <w:rPr>
                <w:rFonts w:asciiTheme="minorBidi" w:hAnsiTheme="minorBidi"/>
                <w:sz w:val="24"/>
                <w:szCs w:val="24"/>
              </w:rPr>
              <w:t>/L.</w:t>
            </w:r>
          </w:p>
        </w:tc>
      </w:tr>
      <w:tr w:rsidR="00502BB2" w14:paraId="41F945DA"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2EF9F08"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Bicarbonate</w:t>
            </w:r>
          </w:p>
        </w:tc>
        <w:tc>
          <w:tcPr>
            <w:tcW w:w="0" w:type="auto"/>
            <w:shd w:val="clear" w:color="auto" w:fill="F2F2F2" w:themeFill="background1" w:themeFillShade="F2"/>
          </w:tcPr>
          <w:p w14:paraId="1DB4F3C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 xml:space="preserve">Pas de bénéfice démontré si pH 6,9–7,1. Si pH ≤ 6,9 : 100 </w:t>
            </w:r>
            <w:proofErr w:type="spellStart"/>
            <w:r>
              <w:rPr>
                <w:rFonts w:asciiTheme="minorBidi" w:hAnsiTheme="minorBidi"/>
                <w:sz w:val="24"/>
                <w:szCs w:val="24"/>
              </w:rPr>
              <w:t>mmol</w:t>
            </w:r>
            <w:proofErr w:type="spellEnd"/>
            <w:r>
              <w:rPr>
                <w:rFonts w:asciiTheme="minorBidi" w:hAnsiTheme="minorBidi"/>
                <w:sz w:val="24"/>
                <w:szCs w:val="24"/>
              </w:rPr>
              <w:t xml:space="preserve"> bicarbonate de sodium dans 400 ml d’eau stérile + 20 </w:t>
            </w:r>
            <w:proofErr w:type="spellStart"/>
            <w:r>
              <w:rPr>
                <w:rFonts w:asciiTheme="minorBidi" w:hAnsiTheme="minorBidi"/>
                <w:sz w:val="24"/>
                <w:szCs w:val="24"/>
              </w:rPr>
              <w:t>mmol</w:t>
            </w:r>
            <w:proofErr w:type="spellEnd"/>
            <w:r>
              <w:rPr>
                <w:rFonts w:asciiTheme="minorBidi" w:hAnsiTheme="minorBidi"/>
                <w:sz w:val="24"/>
                <w:szCs w:val="24"/>
              </w:rPr>
              <w:t xml:space="preserve"> KCl à 200 ml/h pendant 2 h, jusqu’à pH ≥ 7,0. Répéter toutes les 2 h si nécessaire.</w:t>
            </w:r>
          </w:p>
        </w:tc>
      </w:tr>
      <w:tr w:rsidR="00502BB2" w14:paraId="541C6B1E"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2F9A240"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lastRenderedPageBreak/>
              <w:t>Phosphate</w:t>
            </w:r>
          </w:p>
        </w:tc>
        <w:tc>
          <w:tcPr>
            <w:tcW w:w="0" w:type="auto"/>
            <w:shd w:val="clear" w:color="auto" w:fill="F2F2F2" w:themeFill="background1" w:themeFillShade="F2"/>
          </w:tcPr>
          <w:p w14:paraId="0DD233D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Indiqué en cas d’effets indésirables liés à l’hypophosphatémie. Risque d’hypocalcémie si doses élevées.</w:t>
            </w:r>
          </w:p>
        </w:tc>
      </w:tr>
      <w:tr w:rsidR="00502BB2" w14:paraId="14D51117"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14642D3"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Prise en charge infirmière</w:t>
            </w:r>
          </w:p>
        </w:tc>
        <w:tc>
          <w:tcPr>
            <w:tcW w:w="0" w:type="auto"/>
            <w:shd w:val="clear" w:color="auto" w:fill="F2F2F2" w:themeFill="background1" w:themeFillShade="F2"/>
          </w:tcPr>
          <w:p w14:paraId="5F7E8C3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Surveillance étroite chez patients comateux/pré-comateux. Gestion des perfusions, sonde nasogastrique, cathéter urinaire, ligne PVC, monitoring ECG. Surveillance horaire : température, pouls, pression artérielle, respiration, état neurologique.</w:t>
            </w:r>
          </w:p>
        </w:tc>
      </w:tr>
    </w:tbl>
    <w:p w14:paraId="4CFD584D" w14:textId="77777777" w:rsidR="00502BB2" w:rsidRDefault="0069123E">
      <w:pPr>
        <w:keepNext/>
        <w:spacing w:line="360" w:lineRule="auto"/>
        <w:jc w:val="center"/>
      </w:pPr>
      <w:r>
        <w:rPr>
          <w:rFonts w:asciiTheme="minorBidi" w:hAnsiTheme="minorBidi"/>
          <w:noProof/>
          <w:sz w:val="24"/>
          <w:szCs w:val="24"/>
        </w:rPr>
        <w:drawing>
          <wp:inline distT="0" distB="0" distL="0" distR="0" wp14:anchorId="32FB8FB0" wp14:editId="77C42A4D">
            <wp:extent cx="4180840" cy="5637530"/>
            <wp:effectExtent l="0" t="4445" r="5715" b="5715"/>
            <wp:docPr id="10727578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57822" name="Picture 1"/>
                    <pic:cNvPicPr>
                      <a:picLocks noChangeAspect="1"/>
                    </pic:cNvPicPr>
                  </pic:nvPicPr>
                  <pic:blipFill>
                    <a:blip r:embed="rId33"/>
                    <a:stretch>
                      <a:fillRect/>
                    </a:stretch>
                  </pic:blipFill>
                  <pic:spPr>
                    <a:xfrm rot="5400000">
                      <a:off x="0" y="0"/>
                      <a:ext cx="4203817" cy="5668534"/>
                    </a:xfrm>
                    <a:prstGeom prst="rect">
                      <a:avLst/>
                    </a:prstGeom>
                  </pic:spPr>
                </pic:pic>
              </a:graphicData>
            </a:graphic>
          </wp:inline>
        </w:drawing>
      </w:r>
    </w:p>
    <w:p w14:paraId="2E315D9D" w14:textId="5DBA980C" w:rsidR="00502BB2" w:rsidRDefault="0069123E">
      <w:pPr>
        <w:pStyle w:val="Caption"/>
        <w:jc w:val="center"/>
        <w:rPr>
          <w:rFonts w:asciiTheme="minorBidi" w:hAnsiTheme="minorBidi"/>
          <w:sz w:val="24"/>
          <w:szCs w:val="24"/>
        </w:rPr>
      </w:pPr>
      <w:bookmarkStart w:id="37" w:name="_Toc225723015"/>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11</w:t>
      </w:r>
      <w:r>
        <w:rPr>
          <w:rFonts w:asciiTheme="minorBidi" w:hAnsiTheme="minorBidi"/>
          <w:b/>
          <w:bCs/>
          <w:sz w:val="24"/>
          <w:szCs w:val="24"/>
        </w:rPr>
        <w:fldChar w:fldCharType="end"/>
      </w:r>
      <w:r>
        <w:rPr>
          <w:rFonts w:asciiTheme="minorBidi" w:hAnsiTheme="minorBidi"/>
          <w:sz w:val="24"/>
          <w:szCs w:val="24"/>
        </w:rPr>
        <w:t xml:space="preserve"> : Figure des Traitements et managements de DKA</w:t>
      </w:r>
      <w:r>
        <w:t xml:space="preserve">. </w:t>
      </w:r>
      <w:sdt>
        <w:sdtPr>
          <w:rPr>
            <w:rFonts w:asciiTheme="minorBidi" w:hAnsiTheme="minorBidi"/>
            <w:sz w:val="24"/>
            <w:szCs w:val="24"/>
          </w:rPr>
          <w:id w:val="-151290954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Ump24 \l 1036 </w:instrText>
          </w:r>
          <w:r>
            <w:rPr>
              <w:rFonts w:asciiTheme="minorBidi" w:hAnsiTheme="minorBidi"/>
              <w:b/>
              <w:bCs/>
              <w:sz w:val="24"/>
              <w:szCs w:val="24"/>
            </w:rPr>
            <w:fldChar w:fldCharType="separate"/>
          </w:r>
          <w:r>
            <w:rPr>
              <w:rFonts w:asciiTheme="minorBidi" w:hAnsiTheme="minorBidi"/>
              <w:b/>
              <w:bCs/>
              <w:sz w:val="24"/>
              <w:szCs w:val="24"/>
            </w:rPr>
            <w:t>(Umpierrez GE, 2024)</w:t>
          </w:r>
          <w:r>
            <w:rPr>
              <w:rFonts w:asciiTheme="minorBidi" w:hAnsiTheme="minorBidi"/>
              <w:b/>
              <w:bCs/>
              <w:sz w:val="24"/>
              <w:szCs w:val="24"/>
            </w:rPr>
            <w:fldChar w:fldCharType="end"/>
          </w:r>
        </w:sdtContent>
      </w:sdt>
      <w:bookmarkEnd w:id="37"/>
    </w:p>
    <w:p w14:paraId="36E10922" w14:textId="77777777" w:rsidR="00502BB2" w:rsidRDefault="0069123E">
      <w:pPr>
        <w:pStyle w:val="Heading3"/>
        <w:numPr>
          <w:ilvl w:val="0"/>
          <w:numId w:val="6"/>
        </w:numPr>
        <w:rPr>
          <w:rFonts w:asciiTheme="minorBidi" w:hAnsiTheme="minorBidi" w:cstheme="minorBidi"/>
          <w:b/>
          <w:bCs/>
          <w:color w:val="0D0D0D" w:themeColor="text1" w:themeTint="F2"/>
          <w:sz w:val="24"/>
          <w:szCs w:val="24"/>
        </w:rPr>
      </w:pPr>
      <w:bookmarkStart w:id="38" w:name="_Toc226577329"/>
      <w:r>
        <w:rPr>
          <w:rFonts w:asciiTheme="minorBidi" w:hAnsiTheme="minorBidi" w:cstheme="minorBidi"/>
          <w:b/>
          <w:bCs/>
          <w:color w:val="0D0D0D" w:themeColor="text1" w:themeTint="F2"/>
          <w:sz w:val="24"/>
          <w:szCs w:val="24"/>
        </w:rPr>
        <w:t>DKA et atteinte du cerveau :</w:t>
      </w:r>
      <w:bookmarkEnd w:id="38"/>
    </w:p>
    <w:p w14:paraId="7228208F" w14:textId="77777777" w:rsidR="00502BB2" w:rsidRDefault="0069123E">
      <w:pPr>
        <w:pStyle w:val="NormalWeb"/>
        <w:spacing w:line="360" w:lineRule="auto"/>
        <w:ind w:firstLine="360"/>
        <w:jc w:val="both"/>
        <w:rPr>
          <w:rFonts w:asciiTheme="minorBidi" w:eastAsiaTheme="minorHAnsi" w:hAnsiTheme="minorBidi" w:cstheme="minorBidi"/>
          <w:b/>
          <w:bCs/>
          <w:kern w:val="2"/>
          <w:lang w:eastAsia="en-US"/>
          <w14:ligatures w14:val="standardContextual"/>
        </w:rPr>
      </w:pPr>
      <w:r>
        <w:rPr>
          <w:rFonts w:asciiTheme="minorBidi" w:eastAsiaTheme="minorHAnsi" w:hAnsiTheme="minorBidi" w:cstheme="minorBidi"/>
          <w:kern w:val="2"/>
          <w:lang w:eastAsia="en-US"/>
          <w14:ligatures w14:val="standardContextual"/>
        </w:rPr>
        <w:t>Le glucose constitue le substrat énergétique principal de l’organisme, en particulier du cerveau. Son transport vers le tissu cérébral s’effectue à travers la barrière hémato-encéphalique via les transporteurs spécifiques GLUT1 (indépendants de l’insuline) assurant un apport continu en glucose (25%) et en oxygène (20%).</w:t>
      </w:r>
      <w:sdt>
        <w:sdtPr>
          <w:rPr>
            <w:rFonts w:asciiTheme="minorBidi" w:eastAsiaTheme="minorHAnsi" w:hAnsiTheme="minorBidi" w:cstheme="minorBidi"/>
            <w:kern w:val="2"/>
            <w:lang w:eastAsia="en-US"/>
            <w14:ligatures w14:val="standardContextual"/>
          </w:rPr>
          <w:id w:val="-1808473607"/>
        </w:sdtPr>
        <w:sdtEndPr>
          <w:rPr>
            <w:b/>
            <w:bCs/>
          </w:r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Die19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(Dienel, 2019)</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xml:space="preserve"> ; </w:t>
      </w:r>
      <w:sdt>
        <w:sdtPr>
          <w:rPr>
            <w:rFonts w:asciiTheme="minorBidi" w:eastAsiaTheme="minorHAnsi" w:hAnsiTheme="minorBidi" w:cstheme="minorBidi"/>
            <w:b/>
            <w:bCs/>
            <w:kern w:val="2"/>
            <w:lang w:eastAsia="en-US"/>
            <w14:ligatures w14:val="standardContextual"/>
          </w:rPr>
          <w:id w:val="-1751344770"/>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Liu23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(Liu, 2023)</w:t>
          </w:r>
          <w:r>
            <w:rPr>
              <w:rFonts w:asciiTheme="minorBidi" w:eastAsiaTheme="minorHAnsi" w:hAnsiTheme="minorBidi" w:cstheme="minorBidi"/>
              <w:b/>
              <w:bCs/>
              <w:kern w:val="2"/>
              <w:lang w:eastAsia="en-US"/>
              <w14:ligatures w14:val="standardContextual"/>
            </w:rPr>
            <w:fldChar w:fldCharType="end"/>
          </w:r>
        </w:sdtContent>
      </w:sdt>
    </w:p>
    <w:p w14:paraId="08760B88" w14:textId="77777777" w:rsidR="00502BB2" w:rsidRDefault="0069123E">
      <w:pPr>
        <w:pStyle w:val="NormalWeb"/>
        <w:spacing w:line="360" w:lineRule="auto"/>
        <w:ind w:firstLine="360"/>
        <w:jc w:val="both"/>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lastRenderedPageBreak/>
        <w:t>À ce niveau, le glucose est majoritairement métabolisé par glycolyse au sein des astrocytes et des neurones, permettant la production d’ATP après son entrée dans la phosphorylation oxydative mitochondriale. La glycolyse astrocytaire génère du lactate, qui peut être exporté vers les neurones dans le cadre du « Shuttle astrocyte–neurone ». Ce lactate agit comme intermédiaire métabolique : il est converti en pyruvate puis oxydé dans la mitochondrie neuronale, contribuant ainsi à la production d’ATP. Il partici</w:t>
      </w:r>
      <w:r>
        <w:rPr>
          <w:rFonts w:asciiTheme="minorBidi" w:eastAsiaTheme="minorHAnsi" w:hAnsiTheme="minorBidi" w:cstheme="minorBidi"/>
          <w:kern w:val="2"/>
          <w:lang w:eastAsia="en-US"/>
          <w14:ligatures w14:val="standardContextual"/>
        </w:rPr>
        <w:t>pe également à la régulation métabolique en modulant l’intensité de la glycolyse selon les besoins énergétiques (</w:t>
      </w:r>
      <w:r>
        <w:rPr>
          <w:rFonts w:asciiTheme="minorBidi" w:eastAsiaTheme="minorHAnsi" w:hAnsiTheme="minorBidi" w:cstheme="minorBidi"/>
          <w:b/>
          <w:bCs/>
          <w:kern w:val="2"/>
          <w:lang w:eastAsia="en-US"/>
          <w14:ligatures w14:val="standardContextual"/>
        </w:rPr>
        <w:t>figure 12</w:t>
      </w:r>
      <w:r>
        <w:rPr>
          <w:rFonts w:asciiTheme="minorBidi" w:eastAsiaTheme="minorHAnsi" w:hAnsiTheme="minorBidi" w:cstheme="minorBidi"/>
          <w:kern w:val="2"/>
          <w:lang w:eastAsia="en-US"/>
          <w14:ligatures w14:val="standardContextual"/>
        </w:rPr>
        <w:t>).</w:t>
      </w:r>
      <w:sdt>
        <w:sdtPr>
          <w:rPr>
            <w:rFonts w:asciiTheme="minorBidi" w:eastAsiaTheme="minorHAnsi" w:hAnsiTheme="minorBidi" w:cstheme="minorBidi"/>
            <w:b/>
            <w:bCs/>
            <w:kern w:val="2"/>
            <w:lang w:eastAsia="en-US"/>
            <w14:ligatures w14:val="standardContextual"/>
          </w:rPr>
          <w:id w:val="-164640875"/>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Die19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(Dienel, 2019)</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xml:space="preserve"> ; </w:t>
      </w:r>
      <w:sdt>
        <w:sdtPr>
          <w:rPr>
            <w:rFonts w:asciiTheme="minorBidi" w:eastAsiaTheme="minorHAnsi" w:hAnsiTheme="minorBidi" w:cstheme="minorBidi"/>
            <w:b/>
            <w:bCs/>
            <w:kern w:val="2"/>
            <w:lang w:eastAsia="en-US"/>
            <w14:ligatures w14:val="standardContextual"/>
          </w:rPr>
          <w:id w:val="-1149670612"/>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Bor19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(Bordone, 2019)</w:t>
          </w:r>
          <w:r>
            <w:rPr>
              <w:rFonts w:asciiTheme="minorBidi" w:eastAsiaTheme="minorHAnsi" w:hAnsiTheme="minorBidi" w:cstheme="minorBidi"/>
              <w:b/>
              <w:bCs/>
              <w:kern w:val="2"/>
              <w:lang w:eastAsia="en-US"/>
              <w14:ligatures w14:val="standardContextual"/>
            </w:rPr>
            <w:fldChar w:fldCharType="end"/>
          </w:r>
        </w:sdtContent>
      </w:sdt>
    </w:p>
    <w:p w14:paraId="33A5245E" w14:textId="77777777" w:rsidR="00502BB2" w:rsidRDefault="0069123E">
      <w:pPr>
        <w:pStyle w:val="NormalWeb"/>
        <w:keepNext/>
        <w:spacing w:line="360" w:lineRule="auto"/>
        <w:jc w:val="center"/>
      </w:pPr>
      <w:r>
        <w:rPr>
          <w:rFonts w:asciiTheme="minorBidi" w:eastAsiaTheme="minorHAnsi" w:hAnsiTheme="minorBidi" w:cstheme="minorBidi"/>
          <w:noProof/>
          <w:kern w:val="2"/>
          <w:lang w:eastAsia="en-US"/>
          <w14:ligatures w14:val="standardContextual"/>
        </w:rPr>
        <w:drawing>
          <wp:inline distT="0" distB="0" distL="0" distR="0" wp14:anchorId="3B97C43C" wp14:editId="484FF9CE">
            <wp:extent cx="5801360" cy="3419475"/>
            <wp:effectExtent l="0" t="0" r="8890" b="0"/>
            <wp:docPr id="2042230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230983" name="Picture 1"/>
                    <pic:cNvPicPr>
                      <a:picLocks noChangeAspect="1"/>
                    </pic:cNvPicPr>
                  </pic:nvPicPr>
                  <pic:blipFill>
                    <a:blip r:embed="rId34"/>
                    <a:stretch>
                      <a:fillRect/>
                    </a:stretch>
                  </pic:blipFill>
                  <pic:spPr>
                    <a:xfrm>
                      <a:off x="0" y="0"/>
                      <a:ext cx="5826002" cy="3433759"/>
                    </a:xfrm>
                    <a:prstGeom prst="rect">
                      <a:avLst/>
                    </a:prstGeom>
                  </pic:spPr>
                </pic:pic>
              </a:graphicData>
            </a:graphic>
          </wp:inline>
        </w:drawing>
      </w:r>
    </w:p>
    <w:p w14:paraId="6170FA52" w14:textId="039E8BB9" w:rsidR="00502BB2" w:rsidRDefault="0069123E">
      <w:pPr>
        <w:pStyle w:val="Caption"/>
        <w:jc w:val="center"/>
        <w:rPr>
          <w:rFonts w:asciiTheme="minorBidi" w:hAnsiTheme="minorBidi"/>
          <w:sz w:val="24"/>
          <w:szCs w:val="24"/>
        </w:rPr>
      </w:pPr>
      <w:bookmarkStart w:id="39" w:name="_Toc225723016"/>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12</w:t>
      </w:r>
      <w:r>
        <w:rPr>
          <w:rFonts w:asciiTheme="minorBidi" w:hAnsiTheme="minorBidi"/>
          <w:b/>
          <w:bCs/>
          <w:sz w:val="24"/>
          <w:szCs w:val="24"/>
        </w:rPr>
        <w:fldChar w:fldCharType="end"/>
      </w:r>
      <w:r>
        <w:rPr>
          <w:rFonts w:asciiTheme="minorBidi" w:hAnsiTheme="minorBidi"/>
          <w:sz w:val="24"/>
          <w:szCs w:val="24"/>
        </w:rPr>
        <w:t xml:space="preserve"> : Figure sur le Shuttle astrocyte-neurone lactate</w:t>
      </w:r>
      <w:r>
        <w:t>.</w:t>
      </w:r>
      <w:r>
        <w:rPr>
          <w:rFonts w:asciiTheme="minorBidi" w:hAnsiTheme="minorBidi"/>
          <w:b/>
          <w:bCs/>
          <w:sz w:val="24"/>
          <w:szCs w:val="24"/>
        </w:rPr>
        <w:t xml:space="preserve"> </w:t>
      </w:r>
      <w:sdt>
        <w:sdtPr>
          <w:rPr>
            <w:rFonts w:asciiTheme="minorBidi" w:hAnsiTheme="minorBidi"/>
            <w:b/>
            <w:bCs/>
            <w:sz w:val="24"/>
            <w:szCs w:val="24"/>
          </w:rPr>
          <w:id w:val="-425271971"/>
        </w:sdtPr>
        <w:sdtEndPr>
          <w:rPr>
            <w:b w:val="0"/>
            <w:bCs w:val="0"/>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Bor19 \l 1036 </w:instrText>
          </w:r>
          <w:r>
            <w:rPr>
              <w:rFonts w:asciiTheme="minorBidi" w:hAnsiTheme="minorBidi"/>
              <w:b/>
              <w:bCs/>
              <w:sz w:val="24"/>
              <w:szCs w:val="24"/>
            </w:rPr>
            <w:fldChar w:fldCharType="separate"/>
          </w:r>
          <w:r>
            <w:rPr>
              <w:rFonts w:asciiTheme="minorBidi" w:hAnsiTheme="minorBidi"/>
              <w:b/>
              <w:bCs/>
              <w:sz w:val="24"/>
              <w:szCs w:val="24"/>
            </w:rPr>
            <w:t>(Bordone, 2019)</w:t>
          </w:r>
          <w:r>
            <w:rPr>
              <w:rFonts w:asciiTheme="minorBidi" w:hAnsiTheme="minorBidi"/>
              <w:b/>
              <w:bCs/>
              <w:sz w:val="24"/>
              <w:szCs w:val="24"/>
            </w:rPr>
            <w:fldChar w:fldCharType="end"/>
          </w:r>
        </w:sdtContent>
      </w:sdt>
      <w:bookmarkEnd w:id="39"/>
    </w:p>
    <w:p w14:paraId="46400344" w14:textId="77777777" w:rsidR="00502BB2" w:rsidRDefault="0069123E">
      <w:pPr>
        <w:pStyle w:val="NormalWeb"/>
        <w:spacing w:line="360" w:lineRule="auto"/>
        <w:ind w:firstLine="708"/>
        <w:jc w:val="both"/>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t>Au-delà de son rôle énergétique, le glucose constitue un précurseur essentiel pour la synthèse des neurotransmetteurs excitateurs et inhibiteurs (</w:t>
      </w:r>
      <w:r>
        <w:rPr>
          <w:rFonts w:asciiTheme="minorBidi" w:eastAsiaTheme="minorHAnsi" w:hAnsiTheme="minorBidi" w:cstheme="minorBidi"/>
          <w:b/>
          <w:bCs/>
          <w:kern w:val="2"/>
          <w:lang w:eastAsia="en-US"/>
          <w14:ligatures w14:val="standardContextual"/>
        </w:rPr>
        <w:t>figure 12</w:t>
      </w:r>
      <w:r>
        <w:rPr>
          <w:rFonts w:asciiTheme="minorBidi" w:eastAsiaTheme="minorHAnsi" w:hAnsiTheme="minorBidi" w:cstheme="minorBidi"/>
          <w:kern w:val="2"/>
          <w:lang w:eastAsia="en-US"/>
          <w14:ligatures w14:val="standardContextual"/>
        </w:rPr>
        <w:t>).</w:t>
      </w:r>
      <w:sdt>
        <w:sdtPr>
          <w:rPr>
            <w:rFonts w:asciiTheme="minorBidi" w:eastAsiaTheme="minorHAnsi" w:hAnsiTheme="minorBidi" w:cstheme="minorBidi"/>
            <w:b/>
            <w:bCs/>
            <w:kern w:val="2"/>
            <w:lang w:eastAsia="en-US"/>
            <w14:ligatures w14:val="standardContextual"/>
          </w:rPr>
          <w:id w:val="2405908"/>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Die19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(Dienel, 2019)</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xml:space="preserve"> ; </w:t>
      </w:r>
      <w:sdt>
        <w:sdtPr>
          <w:rPr>
            <w:rFonts w:asciiTheme="minorBidi" w:eastAsiaTheme="minorHAnsi" w:hAnsiTheme="minorBidi" w:cstheme="minorBidi"/>
            <w:b/>
            <w:bCs/>
            <w:kern w:val="2"/>
            <w:lang w:eastAsia="en-US"/>
            <w14:ligatures w14:val="standardContextual"/>
          </w:rPr>
          <w:id w:val="-286282797"/>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Liu23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(Liu, 2023)</w:t>
          </w:r>
          <w:r>
            <w:rPr>
              <w:rFonts w:asciiTheme="minorBidi" w:eastAsiaTheme="minorHAnsi" w:hAnsiTheme="minorBidi" w:cstheme="minorBidi"/>
              <w:b/>
              <w:bCs/>
              <w:kern w:val="2"/>
              <w:lang w:eastAsia="en-US"/>
              <w14:ligatures w14:val="standardContextual"/>
            </w:rPr>
            <w:fldChar w:fldCharType="end"/>
          </w:r>
        </w:sdtContent>
      </w:sdt>
    </w:p>
    <w:p w14:paraId="20CA1BA0"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En situation de déséquilibre glycémique, notamment lors d’une carence en insuline, d’autres voies métaboliques sont activées, telles que la voie des pentoses phosphates et surtout la lipolyse hépatique conduisant à la production de corps </w:t>
      </w:r>
      <w:r>
        <w:rPr>
          <w:rFonts w:asciiTheme="minorBidi" w:hAnsiTheme="minorBidi"/>
          <w:sz w:val="24"/>
          <w:szCs w:val="24"/>
        </w:rPr>
        <w:lastRenderedPageBreak/>
        <w:t>cétoniques (β-hydroxybutyrate et acétoacétate). Ces substrats alternatifs peuvent être utilisés par le cerveau, mais ils ne compensent pas totalement l’efficacité énergétique du glucose dans des conditions aiguës sévères (</w:t>
      </w:r>
      <w:r>
        <w:rPr>
          <w:rFonts w:asciiTheme="minorBidi" w:hAnsiTheme="minorBidi"/>
          <w:b/>
          <w:bCs/>
          <w:sz w:val="24"/>
          <w:szCs w:val="24"/>
        </w:rPr>
        <w:t>figure 13</w:t>
      </w:r>
      <w:r>
        <w:rPr>
          <w:rFonts w:asciiTheme="minorBidi" w:hAnsiTheme="minorBidi"/>
          <w:sz w:val="24"/>
          <w:szCs w:val="24"/>
        </w:rPr>
        <w:t>).</w:t>
      </w:r>
      <w:sdt>
        <w:sdtPr>
          <w:rPr>
            <w:rFonts w:asciiTheme="minorBidi" w:hAnsiTheme="minorBidi"/>
            <w:b/>
            <w:bCs/>
            <w:sz w:val="24"/>
            <w:szCs w:val="24"/>
          </w:rPr>
          <w:id w:val="210421466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Die19 \l 1036 </w:instrText>
          </w:r>
          <w:r>
            <w:rPr>
              <w:rFonts w:asciiTheme="minorBidi" w:hAnsiTheme="minorBidi"/>
              <w:b/>
              <w:bCs/>
              <w:sz w:val="24"/>
              <w:szCs w:val="24"/>
            </w:rPr>
            <w:fldChar w:fldCharType="separate"/>
          </w:r>
          <w:r>
            <w:rPr>
              <w:rFonts w:asciiTheme="minorBidi" w:hAnsiTheme="minorBidi"/>
              <w:b/>
              <w:bCs/>
              <w:sz w:val="24"/>
              <w:szCs w:val="24"/>
            </w:rPr>
            <w:t xml:space="preserve"> (Dienel, 2019)</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0423449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Liu23 \l 1036 </w:instrText>
          </w:r>
          <w:r>
            <w:rPr>
              <w:rFonts w:asciiTheme="minorBidi" w:hAnsiTheme="minorBidi"/>
              <w:b/>
              <w:bCs/>
              <w:sz w:val="24"/>
              <w:szCs w:val="24"/>
            </w:rPr>
            <w:fldChar w:fldCharType="separate"/>
          </w:r>
          <w:r>
            <w:rPr>
              <w:rFonts w:asciiTheme="minorBidi" w:hAnsiTheme="minorBidi"/>
              <w:b/>
              <w:bCs/>
              <w:sz w:val="24"/>
              <w:szCs w:val="24"/>
            </w:rPr>
            <w:t>(Liu, 2023)</w:t>
          </w:r>
          <w:r>
            <w:rPr>
              <w:rFonts w:asciiTheme="minorBidi" w:hAnsiTheme="minorBidi"/>
              <w:b/>
              <w:bCs/>
              <w:sz w:val="24"/>
              <w:szCs w:val="24"/>
            </w:rPr>
            <w:fldChar w:fldCharType="end"/>
          </w:r>
        </w:sdtContent>
      </w:sdt>
    </w:p>
    <w:p w14:paraId="04928D63" w14:textId="77777777" w:rsidR="00502BB2" w:rsidRDefault="0069123E">
      <w:pPr>
        <w:keepNext/>
        <w:spacing w:line="360" w:lineRule="auto"/>
        <w:jc w:val="center"/>
      </w:pPr>
      <w:r>
        <w:rPr>
          <w:rFonts w:asciiTheme="minorBidi" w:hAnsiTheme="minorBidi"/>
          <w:noProof/>
          <w:sz w:val="24"/>
          <w:szCs w:val="24"/>
        </w:rPr>
        <w:drawing>
          <wp:inline distT="0" distB="0" distL="0" distR="0" wp14:anchorId="3F2F1CAB" wp14:editId="0D6B94E1">
            <wp:extent cx="5109845" cy="4714875"/>
            <wp:effectExtent l="0" t="0" r="0" b="0"/>
            <wp:docPr id="240980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980989" name="Picture 1"/>
                    <pic:cNvPicPr>
                      <a:picLocks noChangeAspect="1"/>
                    </pic:cNvPicPr>
                  </pic:nvPicPr>
                  <pic:blipFill>
                    <a:blip r:embed="rId35"/>
                    <a:stretch>
                      <a:fillRect/>
                    </a:stretch>
                  </pic:blipFill>
                  <pic:spPr>
                    <a:xfrm>
                      <a:off x="0" y="0"/>
                      <a:ext cx="5133993" cy="4736764"/>
                    </a:xfrm>
                    <a:prstGeom prst="rect">
                      <a:avLst/>
                    </a:prstGeom>
                  </pic:spPr>
                </pic:pic>
              </a:graphicData>
            </a:graphic>
          </wp:inline>
        </w:drawing>
      </w:r>
    </w:p>
    <w:p w14:paraId="0546D4A7" w14:textId="7AED5FE5" w:rsidR="00502BB2" w:rsidRDefault="0069123E">
      <w:pPr>
        <w:pStyle w:val="Caption"/>
        <w:jc w:val="center"/>
        <w:rPr>
          <w:rFonts w:asciiTheme="minorBidi" w:hAnsiTheme="minorBidi"/>
          <w:sz w:val="24"/>
          <w:szCs w:val="24"/>
        </w:rPr>
      </w:pPr>
      <w:bookmarkStart w:id="40" w:name="_Toc225723017"/>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13</w:t>
      </w:r>
      <w:r>
        <w:rPr>
          <w:rFonts w:asciiTheme="minorBidi" w:hAnsiTheme="minorBidi"/>
          <w:b/>
          <w:bCs/>
          <w:sz w:val="24"/>
          <w:szCs w:val="24"/>
        </w:rPr>
        <w:fldChar w:fldCharType="end"/>
      </w:r>
      <w:r>
        <w:rPr>
          <w:rFonts w:asciiTheme="minorBidi" w:hAnsiTheme="minorBidi"/>
          <w:sz w:val="24"/>
          <w:szCs w:val="24"/>
        </w:rPr>
        <w:t xml:space="preserve"> : Figure des différentes voies énergétiques dans le cerveau.</w:t>
      </w:r>
      <w:r>
        <w:t xml:space="preserve"> </w:t>
      </w:r>
      <w:sdt>
        <w:sdtPr>
          <w:rPr>
            <w:rFonts w:asciiTheme="minorBidi" w:hAnsiTheme="minorBidi"/>
            <w:b/>
            <w:bCs/>
            <w:sz w:val="24"/>
            <w:szCs w:val="24"/>
          </w:rPr>
          <w:id w:val="67075260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Die19 \l 1036 </w:instrText>
          </w:r>
          <w:r>
            <w:rPr>
              <w:rFonts w:asciiTheme="minorBidi" w:hAnsiTheme="minorBidi"/>
              <w:b/>
              <w:bCs/>
              <w:sz w:val="24"/>
              <w:szCs w:val="24"/>
            </w:rPr>
            <w:fldChar w:fldCharType="separate"/>
          </w:r>
          <w:r>
            <w:rPr>
              <w:rFonts w:asciiTheme="minorBidi" w:hAnsiTheme="minorBidi"/>
              <w:b/>
              <w:bCs/>
              <w:sz w:val="24"/>
              <w:szCs w:val="24"/>
            </w:rPr>
            <w:t xml:space="preserve"> (Dienel, 2019)</w:t>
          </w:r>
          <w:r>
            <w:rPr>
              <w:rFonts w:asciiTheme="minorBidi" w:hAnsiTheme="minorBidi"/>
              <w:b/>
              <w:bCs/>
              <w:sz w:val="24"/>
              <w:szCs w:val="24"/>
            </w:rPr>
            <w:fldChar w:fldCharType="end"/>
          </w:r>
        </w:sdtContent>
      </w:sdt>
      <w:bookmarkEnd w:id="40"/>
    </w:p>
    <w:p w14:paraId="0958BB4D"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Dans le diabète mal contrôlé, l’hyperglycémie chronique exerce un effet délétère systémique, entraînant des complications microvasculaires (atteintes cardiovasculaires, cérébrovasculaires et artériopathies périphériques) et microvasculaires (néphropathie, rétinopathie, neuropathie) (</w:t>
      </w:r>
      <w:r>
        <w:rPr>
          <w:rFonts w:asciiTheme="minorBidi" w:hAnsiTheme="minorBidi"/>
          <w:b/>
          <w:bCs/>
          <w:sz w:val="24"/>
          <w:szCs w:val="24"/>
        </w:rPr>
        <w:t>figure 14</w:t>
      </w:r>
      <w:r>
        <w:rPr>
          <w:rFonts w:asciiTheme="minorBidi" w:hAnsiTheme="minorBidi"/>
          <w:sz w:val="24"/>
          <w:szCs w:val="24"/>
        </w:rPr>
        <w:t>). Sur le plan aigu, elle peut évoluer vers des décompensations métaboliques sévères telles que l’acidocétose diabétique (DKA), l’état hyperosmolaire hyperglycémique (HHS), ou des formes mixtes.</w:t>
      </w:r>
      <w:sdt>
        <w:sdtPr>
          <w:rPr>
            <w:rFonts w:asciiTheme="minorBidi" w:hAnsiTheme="minorBidi"/>
            <w:sz w:val="24"/>
            <w:szCs w:val="24"/>
          </w:rPr>
          <w:id w:val="170367623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Dub23 \l 1036 </w:instrText>
          </w:r>
          <w:r>
            <w:rPr>
              <w:rFonts w:asciiTheme="minorBidi" w:hAnsiTheme="minorBidi"/>
              <w:b/>
              <w:bCs/>
              <w:sz w:val="24"/>
              <w:szCs w:val="24"/>
            </w:rPr>
            <w:fldChar w:fldCharType="separate"/>
          </w:r>
          <w:r>
            <w:rPr>
              <w:rFonts w:asciiTheme="minorBidi" w:hAnsiTheme="minorBidi"/>
              <w:b/>
              <w:bCs/>
              <w:sz w:val="24"/>
              <w:szCs w:val="24"/>
            </w:rPr>
            <w:t xml:space="preserve"> (Dubey, 2023)</w:t>
          </w:r>
          <w:r>
            <w:rPr>
              <w:rFonts w:asciiTheme="minorBidi" w:hAnsiTheme="minorBidi"/>
              <w:b/>
              <w:bCs/>
              <w:sz w:val="24"/>
              <w:szCs w:val="24"/>
            </w:rPr>
            <w:fldChar w:fldCharType="end"/>
          </w:r>
        </w:sdtContent>
      </w:sdt>
    </w:p>
    <w:p w14:paraId="2C162807" w14:textId="77777777" w:rsidR="00502BB2" w:rsidRDefault="0069123E">
      <w:pPr>
        <w:keepNext/>
        <w:spacing w:line="360" w:lineRule="auto"/>
        <w:jc w:val="center"/>
      </w:pPr>
      <w:r>
        <w:rPr>
          <w:rFonts w:asciiTheme="minorBidi" w:hAnsiTheme="minorBidi"/>
          <w:noProof/>
          <w:sz w:val="24"/>
          <w:szCs w:val="24"/>
        </w:rPr>
        <w:lastRenderedPageBreak/>
        <mc:AlternateContent>
          <mc:Choice Requires="wps">
            <w:drawing>
              <wp:inline distT="0" distB="0" distL="0" distR="0" wp14:anchorId="733B3D86" wp14:editId="42B429F4">
                <wp:extent cx="304800" cy="304800"/>
                <wp:effectExtent l="0" t="0" r="0" b="0"/>
                <wp:docPr id="1577490038" name="Rectangle 6" descr="Diabète : causes, symptômes, types, diagnostic et traitemen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xmlns:wpsCustomData="http://www.wps.cn/officeDocument/2013/wpsCustomData">
            <w:pict>
              <v:rect id="Rectangle 6" o:spid="_x0000_s1026" o:spt="1" alt="Diabète : causes, symptômes, types, diagnostic et traitement"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cP9EcDsCAABiBAAADgAAAGRycy9lMm9Eb2MueG1srVRLbtswEN0X&#10;6B0IrttITpyfEDkIYqQokLZB0x5gTI0souKnHDqye6IcoDfIxTqk7DRJN1l0I82HevPmzVBn52vT&#10;izsMpJ2t5WSvlAKtco22y1p+/3b1/kQKimAb6J3FWm6Q5Pns7ZuzwVe47zrXNxgEg1iqBl/LLkZf&#10;FQWpDg3QnvNoOdm6YCCyG5ZFE2BgdNMX+2V5VAwuND44hUQcnY9JuUUMrwF0basVzp1aGbRxRA3Y&#10;Q+SWqNOe5CyzbVtU8UvbEkbR15I7jfnJRdhepGcxO4NqGcB3Wm0pwGsovOjJgLZc9BFqDhHEKuh/&#10;oIxWwZFr455yphgbyYpwF5PyhTa3HXjMvbDU5B9Fp/8Hqz7f3QShG96Ew+Pj6WlZHvD8LRie/FdW&#10;D+yyR3EkRYOkWLe5hsXDfURRCQUrQnonaGN8fPhtkh03Pr0aDUvrKLKmLH0MoCOmUSW5B08VV731&#10;NyEJRv7aqR8krLvsuBhekOeyTIdZ7EIhuKFDaLjvSYIonmEkhxhNLIZPrmHesIouD2PdBpNqsMxi&#10;nWe+eZw5rqNQHDwopyclb4Pi1NZOFaDafewDxQ/ojEhGLQOzy+Bwd01xPLo7kmpZd6X7nuNQ9fZZ&#10;gDFTJJNPfEcpFq7ZMPfgxtXki8lG58IvKQZey1rSzxUElKL/aLn/08l0mvY4O9PD4312wtPM4mkG&#10;rGKoWkYpRvMyjru/8kEvuyzzyPGCNWt17ifpObLakuXVy4psr0na7ad+PvX31zD7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AfMlnTSAAAAAwEAAA8AAAAAAAAAAQAgAAAAIgAAAGRycy9kb3ducmV2&#10;LnhtbFBLAQIUABQAAAAIAIdO4kBw/0RwOwIAAGIEAAAOAAAAAAAAAAEAIAAAACEBAABkcnMvZTJv&#10;RG9jLnhtbFBLBQYAAAAABgAGAFkBAADOBQAAAAA=&#10;">
                <v:fill on="f" focussize="0,0"/>
                <v:stroke on="f"/>
                <v:imagedata o:title=""/>
                <o:lock v:ext="edit" aspectratio="t"/>
                <w10:wrap type="none"/>
                <w10:anchorlock/>
              </v:rect>
            </w:pict>
          </mc:Fallback>
        </mc:AlternateContent>
      </w:r>
      <w:r>
        <w:rPr>
          <w:rFonts w:asciiTheme="minorBidi" w:hAnsiTheme="minorBidi"/>
          <w:noProof/>
          <w:sz w:val="24"/>
          <w:szCs w:val="24"/>
        </w:rPr>
        <w:drawing>
          <wp:inline distT="0" distB="0" distL="0" distR="0" wp14:anchorId="14BA3B41" wp14:editId="477FD646">
            <wp:extent cx="5238750" cy="4669155"/>
            <wp:effectExtent l="0" t="0" r="0" b="0"/>
            <wp:docPr id="1705888424" name="Picture 7" descr="Diabetic vascular diseases: molecular mechanisms and therapeutic strategies  | Signal Transduction and Targeted Thera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888424" name="Picture 7" descr="Diabetic vascular diseases: molecular mechanisms and therapeutic strategies  | Signal Transduction and Targeted Therapy"/>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5266312" cy="4693935"/>
                    </a:xfrm>
                    <a:prstGeom prst="rect">
                      <a:avLst/>
                    </a:prstGeom>
                    <a:noFill/>
                    <a:ln>
                      <a:noFill/>
                    </a:ln>
                  </pic:spPr>
                </pic:pic>
              </a:graphicData>
            </a:graphic>
          </wp:inline>
        </w:drawing>
      </w:r>
    </w:p>
    <w:p w14:paraId="690A7114" w14:textId="69F9F7EA" w:rsidR="00502BB2" w:rsidRDefault="0069123E">
      <w:pPr>
        <w:pStyle w:val="Caption"/>
        <w:jc w:val="center"/>
        <w:rPr>
          <w:rFonts w:asciiTheme="minorBidi" w:hAnsiTheme="minorBidi"/>
          <w:sz w:val="24"/>
          <w:szCs w:val="24"/>
        </w:rPr>
      </w:pPr>
      <w:bookmarkStart w:id="41" w:name="_Toc225723018"/>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14</w:t>
      </w:r>
      <w:r>
        <w:rPr>
          <w:rFonts w:asciiTheme="minorBidi" w:hAnsiTheme="minorBidi"/>
          <w:b/>
          <w:bCs/>
          <w:sz w:val="24"/>
          <w:szCs w:val="24"/>
        </w:rPr>
        <w:fldChar w:fldCharType="end"/>
      </w:r>
      <w:r>
        <w:rPr>
          <w:rFonts w:asciiTheme="minorBidi" w:hAnsiTheme="minorBidi"/>
          <w:sz w:val="24"/>
          <w:szCs w:val="24"/>
        </w:rPr>
        <w:t xml:space="preserve"> : Figure sur les complications macro/microvasculaires du diabète.</w:t>
      </w:r>
      <w:r>
        <w:t xml:space="preserve"> </w:t>
      </w:r>
      <w:sdt>
        <w:sdtPr>
          <w:rPr>
            <w:rFonts w:asciiTheme="minorBidi" w:hAnsiTheme="minorBidi"/>
            <w:b/>
            <w:bCs/>
            <w:sz w:val="24"/>
            <w:szCs w:val="24"/>
          </w:rPr>
          <w:id w:val="180034200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LiY23 \l 1036 </w:instrText>
          </w:r>
          <w:r>
            <w:rPr>
              <w:rFonts w:asciiTheme="minorBidi" w:hAnsiTheme="minorBidi"/>
              <w:b/>
              <w:bCs/>
              <w:sz w:val="24"/>
              <w:szCs w:val="24"/>
            </w:rPr>
            <w:fldChar w:fldCharType="separate"/>
          </w:r>
          <w:r>
            <w:rPr>
              <w:rFonts w:asciiTheme="minorBidi" w:hAnsiTheme="minorBidi"/>
              <w:b/>
              <w:bCs/>
              <w:sz w:val="24"/>
              <w:szCs w:val="24"/>
            </w:rPr>
            <w:t>(Li, 2023)</w:t>
          </w:r>
          <w:r>
            <w:rPr>
              <w:rFonts w:asciiTheme="minorBidi" w:hAnsiTheme="minorBidi"/>
              <w:b/>
              <w:bCs/>
              <w:sz w:val="24"/>
              <w:szCs w:val="24"/>
            </w:rPr>
            <w:fldChar w:fldCharType="end"/>
          </w:r>
        </w:sdtContent>
      </w:sdt>
      <w:bookmarkEnd w:id="41"/>
    </w:p>
    <w:p w14:paraId="50A0F29E"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Au niveau du système nerveux central, l’état hyperglycémique sévère induit une atteinte métabolique diffuse pouvant évoluer vers une encéphalopathie métabolique. Celle-ci peut être focale ou globale et s’exprime par un dysfonctionnement neurologique progressif </w:t>
      </w:r>
      <w:r>
        <w:rPr>
          <w:rFonts w:asciiTheme="minorBidi" w:hAnsiTheme="minorBidi"/>
          <w:b/>
          <w:bCs/>
          <w:sz w:val="24"/>
          <w:szCs w:val="24"/>
        </w:rPr>
        <w:t xml:space="preserve">(figure 15). </w:t>
      </w:r>
      <w:sdt>
        <w:sdtPr>
          <w:rPr>
            <w:rFonts w:asciiTheme="minorBidi" w:hAnsiTheme="minorBidi"/>
            <w:b/>
            <w:bCs/>
            <w:sz w:val="24"/>
            <w:szCs w:val="24"/>
          </w:rPr>
          <w:id w:val="53377534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Dub23 \l 1036 </w:instrText>
          </w:r>
          <w:r>
            <w:rPr>
              <w:rFonts w:asciiTheme="minorBidi" w:hAnsiTheme="minorBidi"/>
              <w:b/>
              <w:bCs/>
              <w:sz w:val="24"/>
              <w:szCs w:val="24"/>
            </w:rPr>
            <w:fldChar w:fldCharType="separate"/>
          </w:r>
          <w:r>
            <w:rPr>
              <w:rFonts w:asciiTheme="minorBidi" w:hAnsiTheme="minorBidi"/>
              <w:b/>
              <w:bCs/>
              <w:sz w:val="24"/>
              <w:szCs w:val="24"/>
            </w:rPr>
            <w:t>(Dubey, 2023)</w:t>
          </w:r>
          <w:r>
            <w:rPr>
              <w:rFonts w:asciiTheme="minorBidi" w:hAnsiTheme="minorBidi"/>
              <w:b/>
              <w:bCs/>
              <w:sz w:val="24"/>
              <w:szCs w:val="24"/>
            </w:rPr>
            <w:fldChar w:fldCharType="end"/>
          </w:r>
        </w:sdtContent>
      </w:sdt>
    </w:p>
    <w:p w14:paraId="498875E2" w14:textId="77777777" w:rsidR="00502BB2" w:rsidRDefault="0069123E">
      <w:pPr>
        <w:keepNext/>
        <w:spacing w:line="360" w:lineRule="auto"/>
        <w:jc w:val="center"/>
      </w:pPr>
      <w:r>
        <w:rPr>
          <w:rFonts w:asciiTheme="minorBidi" w:hAnsiTheme="minorBidi"/>
          <w:noProof/>
          <w:sz w:val="24"/>
          <w:szCs w:val="24"/>
        </w:rPr>
        <w:drawing>
          <wp:inline distT="0" distB="0" distL="0" distR="0" wp14:anchorId="0E4C14F9" wp14:editId="17CD4A42">
            <wp:extent cx="6525895" cy="1466850"/>
            <wp:effectExtent l="0" t="0" r="8255" b="0"/>
            <wp:docPr id="19703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3171" name="Picture 1"/>
                    <pic:cNvPicPr>
                      <a:picLocks noChangeAspect="1"/>
                    </pic:cNvPicPr>
                  </pic:nvPicPr>
                  <pic:blipFill>
                    <a:blip r:embed="rId37"/>
                    <a:stretch>
                      <a:fillRect/>
                    </a:stretch>
                  </pic:blipFill>
                  <pic:spPr>
                    <a:xfrm>
                      <a:off x="0" y="0"/>
                      <a:ext cx="6534665" cy="1468821"/>
                    </a:xfrm>
                    <a:prstGeom prst="rect">
                      <a:avLst/>
                    </a:prstGeom>
                  </pic:spPr>
                </pic:pic>
              </a:graphicData>
            </a:graphic>
          </wp:inline>
        </w:drawing>
      </w:r>
    </w:p>
    <w:p w14:paraId="131F3AD1" w14:textId="16E79A54" w:rsidR="00502BB2" w:rsidRDefault="0069123E">
      <w:pPr>
        <w:pStyle w:val="Caption"/>
        <w:jc w:val="center"/>
        <w:rPr>
          <w:rFonts w:asciiTheme="minorBidi" w:hAnsiTheme="minorBidi"/>
          <w:sz w:val="24"/>
          <w:szCs w:val="24"/>
        </w:rPr>
      </w:pPr>
      <w:bookmarkStart w:id="42" w:name="_Toc225723019"/>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15</w:t>
      </w:r>
      <w:r>
        <w:rPr>
          <w:rFonts w:asciiTheme="minorBidi" w:hAnsiTheme="minorBidi"/>
          <w:b/>
          <w:bCs/>
          <w:sz w:val="24"/>
          <w:szCs w:val="24"/>
        </w:rPr>
        <w:fldChar w:fldCharType="end"/>
      </w:r>
      <w:r>
        <w:rPr>
          <w:rFonts w:asciiTheme="minorBidi" w:hAnsiTheme="minorBidi"/>
          <w:sz w:val="24"/>
          <w:szCs w:val="24"/>
        </w:rPr>
        <w:t xml:space="preserve"> : Organigramme des atteintes glycémiques du cerveau</w:t>
      </w:r>
      <w:r>
        <w:t xml:space="preserve">. </w:t>
      </w:r>
      <w:sdt>
        <w:sdtPr>
          <w:rPr>
            <w:rFonts w:asciiTheme="minorBidi" w:hAnsiTheme="minorBidi"/>
            <w:b/>
            <w:bCs/>
            <w:sz w:val="24"/>
            <w:szCs w:val="24"/>
          </w:rPr>
          <w:id w:val="100971134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Die19 \l 1036 </w:instrText>
          </w:r>
          <w:r>
            <w:rPr>
              <w:rFonts w:asciiTheme="minorBidi" w:hAnsiTheme="minorBidi"/>
              <w:b/>
              <w:bCs/>
              <w:sz w:val="24"/>
              <w:szCs w:val="24"/>
            </w:rPr>
            <w:fldChar w:fldCharType="separate"/>
          </w:r>
          <w:r>
            <w:rPr>
              <w:rFonts w:asciiTheme="minorBidi" w:hAnsiTheme="minorBidi"/>
              <w:b/>
              <w:bCs/>
              <w:sz w:val="24"/>
              <w:szCs w:val="24"/>
            </w:rPr>
            <w:t>(Dienel, 2019)</w:t>
          </w:r>
          <w:r>
            <w:rPr>
              <w:rFonts w:asciiTheme="minorBidi" w:hAnsiTheme="minorBidi"/>
              <w:b/>
              <w:bCs/>
              <w:sz w:val="24"/>
              <w:szCs w:val="24"/>
            </w:rPr>
            <w:fldChar w:fldCharType="end"/>
          </w:r>
        </w:sdtContent>
      </w:sdt>
      <w:bookmarkEnd w:id="42"/>
    </w:p>
    <w:p w14:paraId="302023FE"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lastRenderedPageBreak/>
        <w:t>Dans la DKA et le HHS, l’altération neurologique résulte d’une cascade d’événements métaboliques interdépendants qui modifient profondément l’homéostasie cérébrale. L’hyperglycémie constitue l’événement initial. Elle induit une élévation de l’osmolarité plasmatique et stimule la production intracellulaire d’</w:t>
      </w:r>
      <w:proofErr w:type="spellStart"/>
      <w:r>
        <w:rPr>
          <w:rFonts w:asciiTheme="minorBidi" w:hAnsiTheme="minorBidi"/>
          <w:sz w:val="24"/>
          <w:szCs w:val="24"/>
        </w:rPr>
        <w:t>osmolites</w:t>
      </w:r>
      <w:proofErr w:type="spellEnd"/>
      <w:r>
        <w:rPr>
          <w:rFonts w:asciiTheme="minorBidi" w:hAnsiTheme="minorBidi"/>
          <w:sz w:val="24"/>
          <w:szCs w:val="24"/>
        </w:rPr>
        <w:t>, notamment le sorbitol (</w:t>
      </w:r>
      <w:r>
        <w:rPr>
          <w:rFonts w:asciiTheme="minorBidi" w:hAnsiTheme="minorBidi"/>
          <w:b/>
          <w:bCs/>
          <w:sz w:val="24"/>
          <w:szCs w:val="24"/>
        </w:rPr>
        <w:t>figure 13</w:t>
      </w:r>
      <w:r>
        <w:rPr>
          <w:rFonts w:asciiTheme="minorBidi" w:hAnsiTheme="minorBidi"/>
          <w:sz w:val="24"/>
          <w:szCs w:val="24"/>
        </w:rPr>
        <w:t xml:space="preserve">), favorisant des déséquilibres hydriques cellulaires. Parallèlement, l’augmentation des concentrations de lactate et de glutamate contribue à une hyperexcitabilité neuronale, en partie via l’activation accrue des récepteurs NMDA. </w:t>
      </w:r>
      <w:sdt>
        <w:sdtPr>
          <w:rPr>
            <w:rFonts w:asciiTheme="minorBidi" w:hAnsiTheme="minorBidi"/>
            <w:b/>
            <w:bCs/>
            <w:sz w:val="24"/>
            <w:szCs w:val="24"/>
          </w:rPr>
          <w:id w:val="-1253775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Azo20 \l 1036 </w:instrText>
          </w:r>
          <w:r>
            <w:rPr>
              <w:rFonts w:asciiTheme="minorBidi" w:hAnsiTheme="minorBidi"/>
              <w:b/>
              <w:bCs/>
              <w:sz w:val="24"/>
              <w:szCs w:val="24"/>
            </w:rPr>
            <w:fldChar w:fldCharType="separate"/>
          </w:r>
          <w:r>
            <w:rPr>
              <w:rFonts w:asciiTheme="minorBidi" w:hAnsiTheme="minorBidi"/>
              <w:b/>
              <w:bCs/>
              <w:sz w:val="24"/>
              <w:szCs w:val="24"/>
            </w:rPr>
            <w:t>(Azova, 2020)</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213736442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Dub23 \l 1036 </w:instrText>
          </w:r>
          <w:r>
            <w:rPr>
              <w:rFonts w:asciiTheme="minorBidi" w:hAnsiTheme="minorBidi"/>
              <w:b/>
              <w:bCs/>
              <w:sz w:val="24"/>
              <w:szCs w:val="24"/>
            </w:rPr>
            <w:fldChar w:fldCharType="separate"/>
          </w:r>
          <w:r>
            <w:rPr>
              <w:rFonts w:asciiTheme="minorBidi" w:hAnsiTheme="minorBidi"/>
              <w:b/>
              <w:bCs/>
              <w:sz w:val="24"/>
              <w:szCs w:val="24"/>
            </w:rPr>
            <w:t xml:space="preserve"> (Dubey, 2023)</w:t>
          </w:r>
          <w:r>
            <w:rPr>
              <w:rFonts w:asciiTheme="minorBidi" w:hAnsiTheme="minorBidi"/>
              <w:b/>
              <w:bCs/>
              <w:sz w:val="24"/>
              <w:szCs w:val="24"/>
            </w:rPr>
            <w:fldChar w:fldCharType="end"/>
          </w:r>
        </w:sdtContent>
      </w:sdt>
      <w:r>
        <w:rPr>
          <w:rFonts w:asciiTheme="minorBidi" w:hAnsiTheme="minorBidi"/>
          <w:b/>
          <w:bCs/>
          <w:sz w:val="24"/>
          <w:szCs w:val="24"/>
        </w:rPr>
        <w:t>.</w:t>
      </w:r>
    </w:p>
    <w:p w14:paraId="5C11865D"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Simultanément, la cétogenèse excessive entraîne une accumulation de β-hydroxybutyrate et d’acétoacétate, responsables d’une acidification du milieu extracellulaire. Ces corps cétoniques ne se limitent pas à un effet systémique : ils modulent également les mécanismes de transport ionique au niveau cérébral. L’activation des co-transporteurs Na</w:t>
      </w:r>
      <w:r>
        <w:rPr>
          <w:rFonts w:ascii="Cambria Math" w:hAnsi="Cambria Math" w:cs="Cambria Math"/>
          <w:sz w:val="24"/>
          <w:szCs w:val="24"/>
        </w:rPr>
        <w:t>⁺</w:t>
      </w:r>
      <w:r>
        <w:rPr>
          <w:rFonts w:asciiTheme="minorBidi" w:hAnsiTheme="minorBidi"/>
          <w:sz w:val="24"/>
          <w:szCs w:val="24"/>
        </w:rPr>
        <w:t>–K</w:t>
      </w:r>
      <w:r>
        <w:rPr>
          <w:rFonts w:ascii="Cambria Math" w:hAnsi="Cambria Math" w:cs="Cambria Math"/>
          <w:sz w:val="24"/>
          <w:szCs w:val="24"/>
        </w:rPr>
        <w:t>⁺</w:t>
      </w:r>
      <w:r>
        <w:rPr>
          <w:rFonts w:asciiTheme="minorBidi" w:hAnsiTheme="minorBidi"/>
          <w:sz w:val="24"/>
          <w:szCs w:val="24"/>
        </w:rPr>
        <w:t>–Cl</w:t>
      </w:r>
      <w:r>
        <w:rPr>
          <w:rFonts w:ascii="Cambria Math" w:hAnsi="Cambria Math" w:cs="Cambria Math"/>
          <w:sz w:val="24"/>
          <w:szCs w:val="24"/>
        </w:rPr>
        <w:t>⁻</w:t>
      </w:r>
      <w:r>
        <w:rPr>
          <w:rFonts w:asciiTheme="minorBidi" w:hAnsiTheme="minorBidi"/>
          <w:sz w:val="24"/>
          <w:szCs w:val="24"/>
        </w:rPr>
        <w:t xml:space="preserve"> dans les astrocytes favorise l’entrée intracellulaire d’électrolytes et d’eau, tandis que la stimulation des échanges Na</w:t>
      </w:r>
      <w:r>
        <w:rPr>
          <w:rFonts w:ascii="Cambria Math" w:hAnsi="Cambria Math" w:cs="Cambria Math"/>
          <w:sz w:val="24"/>
          <w:szCs w:val="24"/>
        </w:rPr>
        <w:t>⁺</w:t>
      </w:r>
      <w:r>
        <w:rPr>
          <w:rFonts w:asciiTheme="minorBidi" w:hAnsiTheme="minorBidi"/>
          <w:sz w:val="24"/>
          <w:szCs w:val="24"/>
        </w:rPr>
        <w:t>/H</w:t>
      </w:r>
      <w:r>
        <w:rPr>
          <w:rFonts w:ascii="Cambria Math" w:hAnsi="Cambria Math" w:cs="Cambria Math"/>
          <w:sz w:val="24"/>
          <w:szCs w:val="24"/>
        </w:rPr>
        <w:t>⁺</w:t>
      </w:r>
      <w:r>
        <w:rPr>
          <w:rFonts w:asciiTheme="minorBidi" w:hAnsiTheme="minorBidi"/>
          <w:sz w:val="24"/>
          <w:szCs w:val="24"/>
        </w:rPr>
        <w:t xml:space="preserve"> accentue les perturbations du pH intracellulaire. Ces modifications ioniques, associées à une augmentation de l’ADH, renforcent les mouvements hydriques anormaux et participent à la formation d’un œdème cytotoxique.</w:t>
      </w:r>
      <w:sdt>
        <w:sdtPr>
          <w:rPr>
            <w:rFonts w:asciiTheme="minorBidi" w:hAnsiTheme="minorBidi"/>
            <w:b/>
            <w:bCs/>
            <w:sz w:val="24"/>
            <w:szCs w:val="24"/>
          </w:rPr>
          <w:id w:val="166257548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Azo20 \l 1036 </w:instrText>
          </w:r>
          <w:r>
            <w:rPr>
              <w:rFonts w:asciiTheme="minorBidi" w:hAnsiTheme="minorBidi"/>
              <w:b/>
              <w:bCs/>
              <w:sz w:val="24"/>
              <w:szCs w:val="24"/>
            </w:rPr>
            <w:fldChar w:fldCharType="separate"/>
          </w:r>
          <w:r>
            <w:rPr>
              <w:rFonts w:asciiTheme="minorBidi" w:hAnsiTheme="minorBidi"/>
              <w:b/>
              <w:bCs/>
              <w:sz w:val="24"/>
              <w:szCs w:val="24"/>
            </w:rPr>
            <w:t xml:space="preserve"> (Azova, 2020)</w:t>
          </w:r>
          <w:r>
            <w:rPr>
              <w:rFonts w:asciiTheme="minorBidi" w:hAnsiTheme="minorBidi"/>
              <w:b/>
              <w:bCs/>
              <w:sz w:val="24"/>
              <w:szCs w:val="24"/>
            </w:rPr>
            <w:fldChar w:fldCharType="end"/>
          </w:r>
        </w:sdtContent>
      </w:sdt>
    </w:p>
    <w:p w14:paraId="275C7561"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À cela s’ajoute le stress oxydatif, marqué par la production accrue d’espèces réactives de l’oxygène et la peroxydation lipidique, qui altère le microenvironnement cérébral et compromet l’intégrité de la barrière hémato-encéphalique. La rupture de cette barrière potentialise les déséquilibres ioniques et inflammatoires locaux, aggravant la dysfonction neuronale.</w:t>
      </w:r>
      <w:sdt>
        <w:sdtPr>
          <w:rPr>
            <w:rFonts w:asciiTheme="minorBidi" w:hAnsiTheme="minorBidi"/>
            <w:b/>
            <w:bCs/>
            <w:sz w:val="24"/>
            <w:szCs w:val="24"/>
          </w:rPr>
          <w:id w:val="-207619670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Azo20 \l 1036 </w:instrText>
          </w:r>
          <w:r>
            <w:rPr>
              <w:rFonts w:asciiTheme="minorBidi" w:hAnsiTheme="minorBidi"/>
              <w:b/>
              <w:bCs/>
              <w:sz w:val="24"/>
              <w:szCs w:val="24"/>
            </w:rPr>
            <w:fldChar w:fldCharType="separate"/>
          </w:r>
          <w:r>
            <w:rPr>
              <w:rFonts w:asciiTheme="minorBidi" w:hAnsiTheme="minorBidi"/>
              <w:b/>
              <w:bCs/>
              <w:sz w:val="24"/>
              <w:szCs w:val="24"/>
            </w:rPr>
            <w:t xml:space="preserve"> (Azova, 2020)</w:t>
          </w:r>
          <w:r>
            <w:rPr>
              <w:rFonts w:asciiTheme="minorBidi" w:hAnsiTheme="minorBidi"/>
              <w:b/>
              <w:bCs/>
              <w:sz w:val="24"/>
              <w:szCs w:val="24"/>
            </w:rPr>
            <w:fldChar w:fldCharType="end"/>
          </w:r>
        </w:sdtContent>
      </w:sdt>
    </w:p>
    <w:p w14:paraId="210FCAAE"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Sur le plan hémodynamique, l’urémie et </w:t>
      </w:r>
      <w:hyperlink r:id="rId38" w:history="1">
        <w:r w:rsidR="00502BB2">
          <w:rPr>
            <w:rStyle w:val="Hyperlink"/>
            <w:rFonts w:asciiTheme="minorBidi" w:hAnsiTheme="minorBidi"/>
            <w:color w:val="0D0D0D" w:themeColor="text1" w:themeTint="F2"/>
            <w:sz w:val="24"/>
            <w:szCs w:val="24"/>
            <w:u w:val="none"/>
          </w:rPr>
          <w:t>azote</w:t>
        </w:r>
      </w:hyperlink>
      <w:r>
        <w:rPr>
          <w:rFonts w:asciiTheme="minorBidi" w:hAnsiTheme="minorBidi"/>
          <w:color w:val="0D0D0D" w:themeColor="text1" w:themeTint="F2"/>
          <w:sz w:val="24"/>
          <w:szCs w:val="24"/>
        </w:rPr>
        <w:t xml:space="preserve"> uréique sanguin </w:t>
      </w:r>
      <w:r>
        <w:rPr>
          <w:rFonts w:asciiTheme="minorBidi" w:hAnsiTheme="minorBidi"/>
          <w:sz w:val="24"/>
          <w:szCs w:val="24"/>
        </w:rPr>
        <w:t>(BUN) et l’hyperosmolarité reflètent une déshydratation sévère avec contraction du volume intravasculaire. L’augmentation de la viscosité sanguine et l’hypovolémie contribuent à une hypoperfusion cérébrale. L’association de l’hyperosmolarité et de l’acidose agit de manière synergique pour altérer l’état de conscience.</w:t>
      </w:r>
      <w:sdt>
        <w:sdtPr>
          <w:rPr>
            <w:rFonts w:asciiTheme="minorBidi" w:hAnsiTheme="minorBidi"/>
            <w:sz w:val="24"/>
            <w:szCs w:val="24"/>
          </w:rPr>
          <w:id w:val="-1296519765"/>
        </w:sdtPr>
        <w:sdtEndPr/>
        <w:sdtContent>
          <w:r>
            <w:rPr>
              <w:rFonts w:asciiTheme="minorBidi" w:hAnsiTheme="minorBidi"/>
              <w:sz w:val="24"/>
              <w:szCs w:val="24"/>
            </w:rPr>
            <w:fldChar w:fldCharType="begin"/>
          </w:r>
          <w:r>
            <w:rPr>
              <w:rFonts w:asciiTheme="minorBidi" w:hAnsiTheme="minorBidi"/>
              <w:sz w:val="24"/>
              <w:szCs w:val="24"/>
            </w:rPr>
            <w:instrText xml:space="preserve"> CITATION Azo20 \l 1036 </w:instrText>
          </w:r>
          <w:r>
            <w:rPr>
              <w:rFonts w:asciiTheme="minorBidi" w:hAnsiTheme="minorBidi"/>
              <w:sz w:val="24"/>
              <w:szCs w:val="24"/>
            </w:rPr>
            <w:fldChar w:fldCharType="separate"/>
          </w:r>
          <w:r>
            <w:rPr>
              <w:rFonts w:asciiTheme="minorBidi" w:hAnsiTheme="minorBidi"/>
              <w:sz w:val="24"/>
              <w:szCs w:val="24"/>
            </w:rPr>
            <w:t xml:space="preserve"> (Azova, 2020)</w:t>
          </w:r>
          <w:r>
            <w:rPr>
              <w:rFonts w:asciiTheme="minorBidi" w:hAnsiTheme="minorBidi"/>
              <w:sz w:val="24"/>
              <w:szCs w:val="24"/>
            </w:rPr>
            <w:fldChar w:fldCharType="end"/>
          </w:r>
        </w:sdtContent>
      </w:sdt>
    </w:p>
    <w:p w14:paraId="75DF30C7"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L’acidose métabolique déclenche une hyperventilation compensatrice de type Kussmaul visant à diminuer la PaCO</w:t>
      </w:r>
      <w:r>
        <w:rPr>
          <w:rFonts w:ascii="Cambria Math" w:hAnsi="Cambria Math" w:cs="Cambria Math"/>
          <w:sz w:val="24"/>
          <w:szCs w:val="24"/>
        </w:rPr>
        <w:t>₂</w:t>
      </w:r>
      <w:r>
        <w:rPr>
          <w:rFonts w:asciiTheme="minorBidi" w:hAnsiTheme="minorBidi"/>
          <w:sz w:val="24"/>
          <w:szCs w:val="24"/>
        </w:rPr>
        <w:t xml:space="preserve"> et </w:t>
      </w:r>
      <w:r>
        <w:rPr>
          <w:rFonts w:ascii="Arial" w:hAnsi="Arial" w:cs="Arial"/>
          <w:sz w:val="24"/>
          <w:szCs w:val="24"/>
        </w:rPr>
        <w:t>à</w:t>
      </w:r>
      <w:r>
        <w:rPr>
          <w:rFonts w:asciiTheme="minorBidi" w:hAnsiTheme="minorBidi"/>
          <w:sz w:val="24"/>
          <w:szCs w:val="24"/>
        </w:rPr>
        <w:t xml:space="preserve"> corriger le pH syst</w:t>
      </w:r>
      <w:r>
        <w:rPr>
          <w:rFonts w:ascii="Arial" w:hAnsi="Arial" w:cs="Arial"/>
          <w:sz w:val="24"/>
          <w:szCs w:val="24"/>
        </w:rPr>
        <w:t>é</w:t>
      </w:r>
      <w:r>
        <w:rPr>
          <w:rFonts w:asciiTheme="minorBidi" w:hAnsiTheme="minorBidi"/>
          <w:sz w:val="24"/>
          <w:szCs w:val="24"/>
        </w:rPr>
        <w:t xml:space="preserve">mique. Cependant, </w:t>
      </w:r>
      <w:r>
        <w:rPr>
          <w:rFonts w:asciiTheme="minorBidi" w:hAnsiTheme="minorBidi"/>
          <w:sz w:val="24"/>
          <w:szCs w:val="24"/>
        </w:rPr>
        <w:lastRenderedPageBreak/>
        <w:t>l</w:t>
      </w:r>
      <w:r>
        <w:rPr>
          <w:rFonts w:ascii="Arial" w:hAnsi="Arial" w:cs="Arial"/>
          <w:sz w:val="24"/>
          <w:szCs w:val="24"/>
        </w:rPr>
        <w:t>’</w:t>
      </w:r>
      <w:r>
        <w:rPr>
          <w:rFonts w:asciiTheme="minorBidi" w:hAnsiTheme="minorBidi"/>
          <w:sz w:val="24"/>
          <w:szCs w:val="24"/>
        </w:rPr>
        <w:t>hypocapnie induite provoque une vasoconstriction c</w:t>
      </w:r>
      <w:r>
        <w:rPr>
          <w:rFonts w:ascii="Arial" w:hAnsi="Arial" w:cs="Arial"/>
          <w:sz w:val="24"/>
          <w:szCs w:val="24"/>
        </w:rPr>
        <w:t>é</w:t>
      </w:r>
      <w:r>
        <w:rPr>
          <w:rFonts w:asciiTheme="minorBidi" w:hAnsiTheme="minorBidi"/>
          <w:sz w:val="24"/>
          <w:szCs w:val="24"/>
        </w:rPr>
        <w:t>r</w:t>
      </w:r>
      <w:r>
        <w:rPr>
          <w:rFonts w:ascii="Arial" w:hAnsi="Arial" w:cs="Arial"/>
          <w:sz w:val="24"/>
          <w:szCs w:val="24"/>
        </w:rPr>
        <w:t>é</w:t>
      </w:r>
      <w:r>
        <w:rPr>
          <w:rFonts w:asciiTheme="minorBidi" w:hAnsiTheme="minorBidi"/>
          <w:sz w:val="24"/>
          <w:szCs w:val="24"/>
        </w:rPr>
        <w:t>brale suppl</w:t>
      </w:r>
      <w:r>
        <w:rPr>
          <w:rFonts w:ascii="Arial" w:hAnsi="Arial" w:cs="Arial"/>
          <w:sz w:val="24"/>
          <w:szCs w:val="24"/>
        </w:rPr>
        <w:t>é</w:t>
      </w:r>
      <w:r>
        <w:rPr>
          <w:rFonts w:asciiTheme="minorBidi" w:hAnsiTheme="minorBidi"/>
          <w:sz w:val="24"/>
          <w:szCs w:val="24"/>
        </w:rPr>
        <w:t>mentaire. Par ailleurs, l</w:t>
      </w:r>
      <w:r>
        <w:rPr>
          <w:rFonts w:ascii="Arial" w:hAnsi="Arial" w:cs="Arial"/>
          <w:sz w:val="24"/>
          <w:szCs w:val="24"/>
        </w:rPr>
        <w:t>’</w:t>
      </w:r>
      <w:r>
        <w:rPr>
          <w:rFonts w:asciiTheme="minorBidi" w:hAnsiTheme="minorBidi"/>
          <w:sz w:val="24"/>
          <w:szCs w:val="24"/>
        </w:rPr>
        <w:t>ac</w:t>
      </w:r>
      <w:r>
        <w:rPr>
          <w:rFonts w:ascii="Arial" w:hAnsi="Arial" w:cs="Arial"/>
          <w:sz w:val="24"/>
          <w:szCs w:val="24"/>
        </w:rPr>
        <w:t>é</w:t>
      </w:r>
      <w:r>
        <w:rPr>
          <w:rFonts w:asciiTheme="minorBidi" w:hAnsiTheme="minorBidi"/>
          <w:sz w:val="24"/>
          <w:szCs w:val="24"/>
        </w:rPr>
        <w:t>toac</w:t>
      </w:r>
      <w:r>
        <w:rPr>
          <w:rFonts w:ascii="Arial" w:hAnsi="Arial" w:cs="Arial"/>
          <w:sz w:val="24"/>
          <w:szCs w:val="24"/>
        </w:rPr>
        <w:t>é</w:t>
      </w:r>
      <w:r>
        <w:rPr>
          <w:rFonts w:asciiTheme="minorBidi" w:hAnsiTheme="minorBidi"/>
          <w:sz w:val="24"/>
          <w:szCs w:val="24"/>
        </w:rPr>
        <w:t>tate peut stimuler la production d</w:t>
      </w:r>
      <w:r>
        <w:rPr>
          <w:rFonts w:ascii="Arial" w:hAnsi="Arial" w:cs="Arial"/>
          <w:sz w:val="24"/>
          <w:szCs w:val="24"/>
        </w:rPr>
        <w:t>’</w:t>
      </w:r>
      <w:r>
        <w:rPr>
          <w:rFonts w:asciiTheme="minorBidi" w:hAnsiTheme="minorBidi"/>
          <w:sz w:val="24"/>
          <w:szCs w:val="24"/>
        </w:rPr>
        <w:t>endoth</w:t>
      </w:r>
      <w:r>
        <w:rPr>
          <w:rFonts w:ascii="Arial" w:hAnsi="Arial" w:cs="Arial"/>
          <w:sz w:val="24"/>
          <w:szCs w:val="24"/>
        </w:rPr>
        <w:t>é</w:t>
      </w:r>
      <w:r>
        <w:rPr>
          <w:rFonts w:asciiTheme="minorBidi" w:hAnsiTheme="minorBidi"/>
          <w:sz w:val="24"/>
          <w:szCs w:val="24"/>
        </w:rPr>
        <w:t>line-1, renfor</w:t>
      </w:r>
      <w:r>
        <w:rPr>
          <w:rFonts w:ascii="Arial" w:hAnsi="Arial" w:cs="Arial"/>
          <w:sz w:val="24"/>
          <w:szCs w:val="24"/>
        </w:rPr>
        <w:t>ç</w:t>
      </w:r>
      <w:r>
        <w:rPr>
          <w:rFonts w:asciiTheme="minorBidi" w:hAnsiTheme="minorBidi"/>
          <w:sz w:val="24"/>
          <w:szCs w:val="24"/>
        </w:rPr>
        <w:t>ant la vasoconstriction. La r</w:t>
      </w:r>
      <w:r>
        <w:rPr>
          <w:rFonts w:ascii="Arial" w:hAnsi="Arial" w:cs="Arial"/>
          <w:sz w:val="24"/>
          <w:szCs w:val="24"/>
        </w:rPr>
        <w:t>é</w:t>
      </w:r>
      <w:r>
        <w:rPr>
          <w:rFonts w:asciiTheme="minorBidi" w:hAnsiTheme="minorBidi"/>
          <w:sz w:val="24"/>
          <w:szCs w:val="24"/>
        </w:rPr>
        <w:t>duction cons</w:t>
      </w:r>
      <w:r>
        <w:rPr>
          <w:rFonts w:ascii="Arial" w:hAnsi="Arial" w:cs="Arial"/>
          <w:sz w:val="24"/>
          <w:szCs w:val="24"/>
        </w:rPr>
        <w:t>é</w:t>
      </w:r>
      <w:r>
        <w:rPr>
          <w:rFonts w:asciiTheme="minorBidi" w:hAnsiTheme="minorBidi"/>
          <w:sz w:val="24"/>
          <w:szCs w:val="24"/>
        </w:rPr>
        <w:t>cutive du d</w:t>
      </w:r>
      <w:r>
        <w:rPr>
          <w:rFonts w:ascii="Arial" w:hAnsi="Arial" w:cs="Arial"/>
          <w:sz w:val="24"/>
          <w:szCs w:val="24"/>
        </w:rPr>
        <w:t>é</w:t>
      </w:r>
      <w:r>
        <w:rPr>
          <w:rFonts w:asciiTheme="minorBidi" w:hAnsiTheme="minorBidi"/>
          <w:sz w:val="24"/>
          <w:szCs w:val="24"/>
        </w:rPr>
        <w:t>bit sanguin c</w:t>
      </w:r>
      <w:r>
        <w:rPr>
          <w:rFonts w:ascii="Arial" w:hAnsi="Arial" w:cs="Arial"/>
          <w:sz w:val="24"/>
          <w:szCs w:val="24"/>
        </w:rPr>
        <w:t>é</w:t>
      </w:r>
      <w:r>
        <w:rPr>
          <w:rFonts w:asciiTheme="minorBidi" w:hAnsiTheme="minorBidi"/>
          <w:sz w:val="24"/>
          <w:szCs w:val="24"/>
        </w:rPr>
        <w:t>r</w:t>
      </w:r>
      <w:r>
        <w:rPr>
          <w:rFonts w:ascii="Arial" w:hAnsi="Arial" w:cs="Arial"/>
          <w:sz w:val="24"/>
          <w:szCs w:val="24"/>
        </w:rPr>
        <w:t>é</w:t>
      </w:r>
      <w:r>
        <w:rPr>
          <w:rFonts w:asciiTheme="minorBidi" w:hAnsiTheme="minorBidi"/>
          <w:sz w:val="24"/>
          <w:szCs w:val="24"/>
        </w:rPr>
        <w:t>bral (CBF) limite l</w:t>
      </w:r>
      <w:r>
        <w:rPr>
          <w:rFonts w:ascii="Arial" w:hAnsi="Arial" w:cs="Arial"/>
          <w:sz w:val="24"/>
          <w:szCs w:val="24"/>
        </w:rPr>
        <w:t>’</w:t>
      </w:r>
      <w:r>
        <w:rPr>
          <w:rFonts w:asciiTheme="minorBidi" w:hAnsiTheme="minorBidi"/>
          <w:sz w:val="24"/>
          <w:szCs w:val="24"/>
        </w:rPr>
        <w:t>apport en oxyg</w:t>
      </w:r>
      <w:r>
        <w:rPr>
          <w:rFonts w:ascii="Arial" w:hAnsi="Arial" w:cs="Arial"/>
          <w:sz w:val="24"/>
          <w:szCs w:val="24"/>
        </w:rPr>
        <w:t>è</w:t>
      </w:r>
      <w:r>
        <w:rPr>
          <w:rFonts w:asciiTheme="minorBidi" w:hAnsiTheme="minorBidi"/>
          <w:sz w:val="24"/>
          <w:szCs w:val="24"/>
        </w:rPr>
        <w:t xml:space="preserve">ne et en substrats </w:t>
      </w:r>
      <w:r>
        <w:rPr>
          <w:rFonts w:ascii="Arial" w:hAnsi="Arial" w:cs="Arial"/>
          <w:sz w:val="24"/>
          <w:szCs w:val="24"/>
        </w:rPr>
        <w:t>é</w:t>
      </w:r>
      <w:r>
        <w:rPr>
          <w:rFonts w:asciiTheme="minorBidi" w:hAnsiTheme="minorBidi"/>
          <w:sz w:val="24"/>
          <w:szCs w:val="24"/>
        </w:rPr>
        <w:t>nerg</w:t>
      </w:r>
      <w:r>
        <w:rPr>
          <w:rFonts w:ascii="Arial" w:hAnsi="Arial" w:cs="Arial"/>
          <w:sz w:val="24"/>
          <w:szCs w:val="24"/>
        </w:rPr>
        <w:t>é</w:t>
      </w:r>
      <w:r>
        <w:rPr>
          <w:rFonts w:asciiTheme="minorBidi" w:hAnsiTheme="minorBidi"/>
          <w:sz w:val="24"/>
          <w:szCs w:val="24"/>
        </w:rPr>
        <w:t>tiques, augmentant la vuln</w:t>
      </w:r>
      <w:r>
        <w:rPr>
          <w:rFonts w:ascii="Arial" w:hAnsi="Arial" w:cs="Arial"/>
          <w:sz w:val="24"/>
          <w:szCs w:val="24"/>
        </w:rPr>
        <w:t>é</w:t>
      </w:r>
      <w:r>
        <w:rPr>
          <w:rFonts w:asciiTheme="minorBidi" w:hAnsiTheme="minorBidi"/>
          <w:sz w:val="24"/>
          <w:szCs w:val="24"/>
        </w:rPr>
        <w:t>rabilit</w:t>
      </w:r>
      <w:r>
        <w:rPr>
          <w:rFonts w:ascii="Arial" w:hAnsi="Arial" w:cs="Arial"/>
          <w:sz w:val="24"/>
          <w:szCs w:val="24"/>
        </w:rPr>
        <w:t>é</w:t>
      </w:r>
      <w:r>
        <w:rPr>
          <w:rFonts w:asciiTheme="minorBidi" w:hAnsiTheme="minorBidi"/>
          <w:sz w:val="24"/>
          <w:szCs w:val="24"/>
        </w:rPr>
        <w:t xml:space="preserve"> neuronale. </w:t>
      </w:r>
      <w:sdt>
        <w:sdtPr>
          <w:rPr>
            <w:rFonts w:asciiTheme="minorBidi" w:hAnsiTheme="minorBidi"/>
            <w:b/>
            <w:bCs/>
            <w:sz w:val="24"/>
            <w:szCs w:val="24"/>
          </w:rPr>
          <w:id w:val="-122452040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Bor19 \l 1036 </w:instrText>
          </w:r>
          <w:r>
            <w:rPr>
              <w:rFonts w:asciiTheme="minorBidi" w:hAnsiTheme="minorBidi"/>
              <w:b/>
              <w:bCs/>
              <w:sz w:val="24"/>
              <w:szCs w:val="24"/>
            </w:rPr>
            <w:fldChar w:fldCharType="separate"/>
          </w:r>
          <w:r>
            <w:rPr>
              <w:rFonts w:asciiTheme="minorBidi" w:hAnsiTheme="minorBidi"/>
              <w:b/>
              <w:bCs/>
              <w:sz w:val="24"/>
              <w:szCs w:val="24"/>
            </w:rPr>
            <w:t>(Bordone, 2019)</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90056287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Azo20 \l 1036 </w:instrText>
          </w:r>
          <w:r>
            <w:rPr>
              <w:rFonts w:asciiTheme="minorBidi" w:hAnsiTheme="minorBidi"/>
              <w:b/>
              <w:bCs/>
              <w:sz w:val="24"/>
              <w:szCs w:val="24"/>
            </w:rPr>
            <w:fldChar w:fldCharType="separate"/>
          </w:r>
          <w:r>
            <w:rPr>
              <w:rFonts w:asciiTheme="minorBidi" w:hAnsiTheme="minorBidi"/>
              <w:b/>
              <w:bCs/>
              <w:sz w:val="24"/>
              <w:szCs w:val="24"/>
            </w:rPr>
            <w:t xml:space="preserve"> (Azova, 2020)</w:t>
          </w:r>
          <w:r>
            <w:rPr>
              <w:rFonts w:asciiTheme="minorBidi" w:hAnsiTheme="minorBidi"/>
              <w:b/>
              <w:bCs/>
              <w:sz w:val="24"/>
              <w:szCs w:val="24"/>
            </w:rPr>
            <w:fldChar w:fldCharType="end"/>
          </w:r>
        </w:sdtContent>
      </w:sdt>
    </w:p>
    <w:p w14:paraId="0E5F2BA5"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L’ensemble de ces mécanismes — déséquilibres osmotiques, acidose, perturbations ioniques, stress oxydatif et hypoperfusion — converge vers une atteinte neuronale diffuse. La dysfonction du système activateur réticulaire ascendant en constitue une conséquence majeure, expliquant l’évolution clinique vers un délirium ou un coma, avec ou sans œdème cérébral. </w:t>
      </w:r>
      <w:sdt>
        <w:sdtPr>
          <w:rPr>
            <w:rFonts w:asciiTheme="minorBidi" w:hAnsiTheme="minorBidi"/>
            <w:b/>
            <w:bCs/>
            <w:sz w:val="24"/>
            <w:szCs w:val="24"/>
          </w:rPr>
          <w:id w:val="-171217595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Azo20 \l 1036 </w:instrText>
          </w:r>
          <w:r>
            <w:rPr>
              <w:rFonts w:asciiTheme="minorBidi" w:hAnsiTheme="minorBidi"/>
              <w:b/>
              <w:bCs/>
              <w:sz w:val="24"/>
              <w:szCs w:val="24"/>
            </w:rPr>
            <w:fldChar w:fldCharType="separate"/>
          </w:r>
          <w:r>
            <w:rPr>
              <w:rFonts w:asciiTheme="minorBidi" w:hAnsiTheme="minorBidi"/>
              <w:b/>
              <w:bCs/>
              <w:sz w:val="24"/>
              <w:szCs w:val="24"/>
            </w:rPr>
            <w:t>(Azova, 2020)</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129320767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Dub23 \l 1036 </w:instrText>
          </w:r>
          <w:r>
            <w:rPr>
              <w:rFonts w:asciiTheme="minorBidi" w:hAnsiTheme="minorBidi"/>
              <w:b/>
              <w:bCs/>
              <w:sz w:val="24"/>
              <w:szCs w:val="24"/>
            </w:rPr>
            <w:fldChar w:fldCharType="separate"/>
          </w:r>
          <w:r>
            <w:rPr>
              <w:rFonts w:asciiTheme="minorBidi" w:hAnsiTheme="minorBidi"/>
              <w:b/>
              <w:bCs/>
              <w:sz w:val="24"/>
              <w:szCs w:val="24"/>
            </w:rPr>
            <w:t xml:space="preserve"> (Dubey, 2023)</w:t>
          </w:r>
          <w:r>
            <w:rPr>
              <w:rFonts w:asciiTheme="minorBidi" w:hAnsiTheme="minorBidi"/>
              <w:b/>
              <w:bCs/>
              <w:sz w:val="24"/>
              <w:szCs w:val="24"/>
            </w:rPr>
            <w:fldChar w:fldCharType="end"/>
          </w:r>
        </w:sdtContent>
      </w:sdt>
    </w:p>
    <w:p w14:paraId="741A1B66" w14:textId="77777777" w:rsidR="00502BB2" w:rsidRDefault="0069123E">
      <w:pPr>
        <w:pStyle w:val="Heading2"/>
        <w:ind w:firstLine="708"/>
        <w:rPr>
          <w:rFonts w:asciiTheme="minorBidi" w:hAnsiTheme="minorBidi" w:cstheme="minorBidi"/>
          <w:b/>
          <w:bCs/>
          <w:color w:val="0D0D0D" w:themeColor="text1" w:themeTint="F2"/>
          <w:sz w:val="28"/>
          <w:szCs w:val="28"/>
        </w:rPr>
      </w:pPr>
      <w:bookmarkStart w:id="43" w:name="_Toc226577330"/>
      <w:r>
        <w:rPr>
          <w:rFonts w:asciiTheme="minorBidi" w:hAnsiTheme="minorBidi" w:cstheme="minorBidi"/>
          <w:b/>
          <w:bCs/>
          <w:color w:val="0D0D0D" w:themeColor="text1" w:themeTint="F2"/>
          <w:sz w:val="28"/>
          <w:szCs w:val="28"/>
        </w:rPr>
        <w:t>III. Le lactate :</w:t>
      </w:r>
      <w:bookmarkEnd w:id="43"/>
    </w:p>
    <w:p w14:paraId="289A1CAE" w14:textId="77777777" w:rsidR="00502BB2" w:rsidRDefault="0069123E">
      <w:pPr>
        <w:pStyle w:val="ListParagraph"/>
        <w:numPr>
          <w:ilvl w:val="0"/>
          <w:numId w:val="7"/>
        </w:numPr>
        <w:spacing w:line="360" w:lineRule="auto"/>
        <w:rPr>
          <w:rFonts w:asciiTheme="minorBidi" w:hAnsiTheme="minorBidi"/>
          <w:b/>
          <w:bCs/>
          <w:color w:val="0D0D0D" w:themeColor="text1" w:themeTint="F2"/>
          <w:sz w:val="24"/>
          <w:szCs w:val="24"/>
        </w:rPr>
      </w:pPr>
      <w:bookmarkStart w:id="44" w:name="_Toc226577331"/>
      <w:r>
        <w:rPr>
          <w:rStyle w:val="Heading3Char"/>
          <w:rFonts w:asciiTheme="minorBidi" w:hAnsiTheme="minorBidi" w:cstheme="minorBidi"/>
          <w:b/>
          <w:bCs/>
          <w:color w:val="0D0D0D" w:themeColor="text1" w:themeTint="F2"/>
          <w:sz w:val="24"/>
          <w:szCs w:val="24"/>
        </w:rPr>
        <w:t>L’état physiologique :</w:t>
      </w:r>
      <w:bookmarkEnd w:id="44"/>
    </w:p>
    <w:p w14:paraId="3B4B062B"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 lactate n’est plus considéré comme un simple déchet métabolique issu de l’exercice, le stress, inflammation et prolifération cellulaire, mais comme un métabolite central reflétant le bon fonctionnement de l’organisme. Il constitue un véritable substrat énergétique utilisé par plusieurs organes, notamment le muscle squelettique, le cœur, les reins et le cerveau, où il participe au bon fonctionnement neuronal </w:t>
      </w:r>
      <w:r>
        <w:rPr>
          <w:rFonts w:asciiTheme="minorBidi" w:hAnsiTheme="minorBidi"/>
          <w:b/>
          <w:bCs/>
          <w:sz w:val="24"/>
          <w:szCs w:val="24"/>
        </w:rPr>
        <w:t>(figure 16)</w:t>
      </w:r>
      <w:r>
        <w:rPr>
          <w:rFonts w:asciiTheme="minorBidi" w:hAnsiTheme="minorBidi"/>
          <w:sz w:val="24"/>
          <w:szCs w:val="24"/>
        </w:rPr>
        <w:t>.</w:t>
      </w:r>
      <w:sdt>
        <w:sdtPr>
          <w:rPr>
            <w:rFonts w:asciiTheme="minorBidi" w:hAnsiTheme="minorBidi"/>
            <w:b/>
            <w:bCs/>
            <w:sz w:val="24"/>
            <w:szCs w:val="24"/>
          </w:rPr>
          <w:id w:val="-128033264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Deu24 \l 1036 </w:instrText>
          </w:r>
          <w:r>
            <w:rPr>
              <w:rFonts w:asciiTheme="minorBidi" w:hAnsiTheme="minorBidi"/>
              <w:b/>
              <w:bCs/>
              <w:sz w:val="24"/>
              <w:szCs w:val="24"/>
            </w:rPr>
            <w:fldChar w:fldCharType="separate"/>
          </w:r>
          <w:r>
            <w:rPr>
              <w:rFonts w:asciiTheme="minorBidi" w:hAnsiTheme="minorBidi"/>
              <w:b/>
              <w:bCs/>
              <w:sz w:val="24"/>
              <w:szCs w:val="24"/>
            </w:rPr>
            <w:t xml:space="preserve"> (Deulkar P, 2024)</w:t>
          </w:r>
          <w:r>
            <w:rPr>
              <w:rFonts w:asciiTheme="minorBidi" w:hAnsiTheme="minorBidi"/>
              <w:b/>
              <w:bCs/>
              <w:sz w:val="24"/>
              <w:szCs w:val="24"/>
            </w:rPr>
            <w:fldChar w:fldCharType="end"/>
          </w:r>
        </w:sdtContent>
      </w:sdt>
      <w:r>
        <w:rPr>
          <w:rFonts w:asciiTheme="minorBidi" w:hAnsiTheme="minorBidi"/>
          <w:b/>
          <w:bCs/>
          <w:sz w:val="24"/>
          <w:szCs w:val="24"/>
        </w:rPr>
        <w:t xml:space="preserve">, </w:t>
      </w:r>
      <w:sdt>
        <w:sdtPr>
          <w:rPr>
            <w:rFonts w:asciiTheme="minorBidi" w:hAnsiTheme="minorBidi"/>
            <w:b/>
            <w:bCs/>
            <w:sz w:val="24"/>
            <w:szCs w:val="24"/>
          </w:rPr>
          <w:id w:val="84166679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Kem25 \l 1036 </w:instrText>
          </w:r>
          <w:r>
            <w:rPr>
              <w:rFonts w:asciiTheme="minorBidi" w:hAnsiTheme="minorBidi"/>
              <w:b/>
              <w:bCs/>
              <w:sz w:val="24"/>
              <w:szCs w:val="24"/>
            </w:rPr>
            <w:fldChar w:fldCharType="separate"/>
          </w:r>
          <w:r>
            <w:rPr>
              <w:rFonts w:asciiTheme="minorBidi" w:hAnsiTheme="minorBidi"/>
              <w:b/>
              <w:bCs/>
              <w:sz w:val="24"/>
              <w:szCs w:val="24"/>
            </w:rPr>
            <w:t>(Kemna RE, 2025)</w:t>
          </w:r>
          <w:r>
            <w:rPr>
              <w:rFonts w:asciiTheme="minorBidi" w:hAnsiTheme="minorBidi"/>
              <w:b/>
              <w:bCs/>
              <w:sz w:val="24"/>
              <w:szCs w:val="24"/>
            </w:rPr>
            <w:fldChar w:fldCharType="end"/>
          </w:r>
        </w:sdtContent>
      </w:sdt>
      <w:r>
        <w:rPr>
          <w:rFonts w:asciiTheme="minorBidi" w:hAnsiTheme="minorBidi"/>
          <w:b/>
          <w:bCs/>
          <w:sz w:val="24"/>
          <w:szCs w:val="24"/>
        </w:rPr>
        <w:t>,</w:t>
      </w:r>
      <w:sdt>
        <w:sdtPr>
          <w:rPr>
            <w:rFonts w:asciiTheme="minorBidi" w:hAnsiTheme="minorBidi"/>
            <w:b/>
            <w:bCs/>
            <w:sz w:val="24"/>
            <w:szCs w:val="24"/>
          </w:rPr>
          <w:id w:val="-27703190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Siy25 \l 1036 </w:instrText>
          </w:r>
          <w:r>
            <w:rPr>
              <w:rFonts w:asciiTheme="minorBidi" w:hAnsiTheme="minorBidi"/>
              <w:b/>
              <w:bCs/>
              <w:sz w:val="24"/>
              <w:szCs w:val="24"/>
            </w:rPr>
            <w:fldChar w:fldCharType="separate"/>
          </w:r>
          <w:r>
            <w:rPr>
              <w:rFonts w:asciiTheme="minorBidi" w:hAnsiTheme="minorBidi"/>
              <w:b/>
              <w:bCs/>
              <w:sz w:val="24"/>
              <w:szCs w:val="24"/>
            </w:rPr>
            <w:t xml:space="preserve"> (Siyu Guo, 2025)</w:t>
          </w:r>
          <w:r>
            <w:rPr>
              <w:rFonts w:asciiTheme="minorBidi" w:hAnsiTheme="minorBidi"/>
              <w:b/>
              <w:bCs/>
              <w:sz w:val="24"/>
              <w:szCs w:val="24"/>
            </w:rPr>
            <w:fldChar w:fldCharType="end"/>
          </w:r>
        </w:sdtContent>
      </w:sdt>
    </w:p>
    <w:p w14:paraId="483879FC"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39A6897D" wp14:editId="44F54D23">
            <wp:extent cx="5800725" cy="5509260"/>
            <wp:effectExtent l="0" t="0" r="0" b="0"/>
            <wp:docPr id="15844872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487248" name="Picture 1"/>
                    <pic:cNvPicPr>
                      <a:picLocks noChangeAspect="1"/>
                    </pic:cNvPicPr>
                  </pic:nvPicPr>
                  <pic:blipFill>
                    <a:blip r:embed="rId39"/>
                    <a:stretch>
                      <a:fillRect/>
                    </a:stretch>
                  </pic:blipFill>
                  <pic:spPr>
                    <a:xfrm>
                      <a:off x="0" y="0"/>
                      <a:ext cx="5832032" cy="5539137"/>
                    </a:xfrm>
                    <a:prstGeom prst="rect">
                      <a:avLst/>
                    </a:prstGeom>
                  </pic:spPr>
                </pic:pic>
              </a:graphicData>
            </a:graphic>
          </wp:inline>
        </w:drawing>
      </w:r>
    </w:p>
    <w:p w14:paraId="39AC94A2" w14:textId="4992B5C3" w:rsidR="00502BB2" w:rsidRDefault="0069123E">
      <w:pPr>
        <w:pStyle w:val="Caption"/>
        <w:jc w:val="center"/>
        <w:rPr>
          <w:rFonts w:asciiTheme="minorBidi" w:hAnsiTheme="minorBidi"/>
          <w:sz w:val="24"/>
          <w:szCs w:val="24"/>
        </w:rPr>
      </w:pPr>
      <w:bookmarkStart w:id="45" w:name="_Toc225723020"/>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16</w:t>
      </w:r>
      <w:r>
        <w:rPr>
          <w:rFonts w:asciiTheme="minorBidi" w:hAnsiTheme="minorBidi"/>
          <w:b/>
          <w:bCs/>
          <w:sz w:val="24"/>
          <w:szCs w:val="24"/>
        </w:rPr>
        <w:fldChar w:fldCharType="end"/>
      </w:r>
      <w:r>
        <w:rPr>
          <w:rFonts w:asciiTheme="minorBidi" w:hAnsiTheme="minorBidi"/>
          <w:b/>
          <w:bCs/>
          <w:sz w:val="24"/>
          <w:szCs w:val="24"/>
        </w:rPr>
        <w:t xml:space="preserve"> : </w:t>
      </w:r>
      <w:r>
        <w:rPr>
          <w:rFonts w:asciiTheme="minorBidi" w:hAnsiTheme="minorBidi"/>
          <w:sz w:val="24"/>
          <w:szCs w:val="24"/>
        </w:rPr>
        <w:t>Figure de la signalisation du Lactate dans les cellules cardiaques et rénales.</w:t>
      </w:r>
      <w:r>
        <w:t xml:space="preserve"> </w:t>
      </w:r>
      <w:sdt>
        <w:sdtPr>
          <w:rPr>
            <w:rFonts w:asciiTheme="minorBidi" w:hAnsiTheme="minorBidi"/>
            <w:sz w:val="24"/>
            <w:szCs w:val="24"/>
          </w:rPr>
          <w:id w:val="523377415"/>
        </w:sdtPr>
        <w:sdtEndPr/>
        <w:sdtContent>
          <w:r>
            <w:rPr>
              <w:rFonts w:asciiTheme="minorBidi" w:hAnsiTheme="minorBidi"/>
              <w:sz w:val="24"/>
              <w:szCs w:val="24"/>
            </w:rPr>
            <w:fldChar w:fldCharType="begin"/>
          </w:r>
          <w:r>
            <w:rPr>
              <w:rFonts w:asciiTheme="minorBidi" w:hAnsiTheme="minorBidi"/>
              <w:sz w:val="24"/>
              <w:szCs w:val="24"/>
            </w:rPr>
            <w:instrText xml:space="preserve"> CITATION Siy25 \l 1036 </w:instrText>
          </w:r>
          <w:r>
            <w:rPr>
              <w:rFonts w:asciiTheme="minorBidi" w:hAnsiTheme="minorBidi"/>
              <w:sz w:val="24"/>
              <w:szCs w:val="24"/>
            </w:rPr>
            <w:fldChar w:fldCharType="separate"/>
          </w:r>
          <w:r>
            <w:rPr>
              <w:rFonts w:asciiTheme="minorBidi" w:hAnsiTheme="minorBidi"/>
              <w:sz w:val="24"/>
              <w:szCs w:val="24"/>
            </w:rPr>
            <w:t xml:space="preserve"> </w:t>
          </w:r>
          <w:r>
            <w:rPr>
              <w:rFonts w:asciiTheme="minorBidi" w:hAnsiTheme="minorBidi"/>
              <w:b/>
              <w:bCs/>
              <w:sz w:val="24"/>
              <w:szCs w:val="24"/>
            </w:rPr>
            <w:t>(Siyu Guo, 2025</w:t>
          </w:r>
          <w:r>
            <w:rPr>
              <w:rFonts w:asciiTheme="minorBidi" w:hAnsiTheme="minorBidi"/>
              <w:sz w:val="24"/>
              <w:szCs w:val="24"/>
            </w:rPr>
            <w:t>)</w:t>
          </w:r>
          <w:r>
            <w:rPr>
              <w:rFonts w:asciiTheme="minorBidi" w:hAnsiTheme="minorBidi"/>
              <w:sz w:val="24"/>
              <w:szCs w:val="24"/>
            </w:rPr>
            <w:fldChar w:fldCharType="end"/>
          </w:r>
        </w:sdtContent>
      </w:sdt>
      <w:bookmarkEnd w:id="45"/>
    </w:p>
    <w:p w14:paraId="2CCEEDC2"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 lactate est produit à partir du glucose au cours de la glycolyse (</w:t>
      </w:r>
      <w:r>
        <w:rPr>
          <w:rFonts w:asciiTheme="minorBidi" w:hAnsiTheme="minorBidi"/>
          <w:b/>
          <w:bCs/>
          <w:sz w:val="24"/>
          <w:szCs w:val="24"/>
        </w:rPr>
        <w:t>figure 17</w:t>
      </w:r>
      <w:r>
        <w:rPr>
          <w:rFonts w:asciiTheme="minorBidi" w:hAnsiTheme="minorBidi"/>
          <w:sz w:val="24"/>
          <w:szCs w:val="24"/>
        </w:rPr>
        <w:t xml:space="preserve">). Le glucose est oxydé en pyruvate, lequel peut être converti en lactate par une réaction catalysée par le lactate déshydrogénase (LDH), avec un rapport lactate/pyruvate d’environ 25 :1 en conditions physiologiques. En conditions aérobies, le pyruvate est majoritairement transporté vers la mitochondrie, où il alimente le cycle de Krebs et la phosphorylation oxydative, permettant une production élevée d’ATP. En conditions anaérobies, ou lorsque la capacité oxydative mitochondriale est dépassée, le </w:t>
      </w:r>
      <w:r>
        <w:rPr>
          <w:rFonts w:asciiTheme="minorBidi" w:hAnsiTheme="minorBidi"/>
          <w:sz w:val="24"/>
          <w:szCs w:val="24"/>
        </w:rPr>
        <w:t xml:space="preserve">pyruvate </w:t>
      </w:r>
      <w:r>
        <w:rPr>
          <w:rFonts w:asciiTheme="minorBidi" w:hAnsiTheme="minorBidi"/>
          <w:sz w:val="24"/>
          <w:szCs w:val="24"/>
        </w:rPr>
        <w:lastRenderedPageBreak/>
        <w:t xml:space="preserve">est réduit en lactate en présence du NADH issu de la glycolyse. </w:t>
      </w:r>
      <w:sdt>
        <w:sdtPr>
          <w:rPr>
            <w:rFonts w:asciiTheme="minorBidi" w:hAnsiTheme="minorBidi"/>
            <w:b/>
            <w:bCs/>
            <w:sz w:val="24"/>
            <w:szCs w:val="24"/>
          </w:rPr>
          <w:id w:val="213343480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Deu24 \l 1036 </w:instrText>
          </w:r>
          <w:r>
            <w:rPr>
              <w:rFonts w:asciiTheme="minorBidi" w:hAnsiTheme="minorBidi"/>
              <w:b/>
              <w:bCs/>
              <w:sz w:val="24"/>
              <w:szCs w:val="24"/>
            </w:rPr>
            <w:fldChar w:fldCharType="separate"/>
          </w:r>
          <w:r>
            <w:rPr>
              <w:rFonts w:asciiTheme="minorBidi" w:hAnsiTheme="minorBidi"/>
              <w:b/>
              <w:bCs/>
              <w:sz w:val="24"/>
              <w:szCs w:val="24"/>
            </w:rPr>
            <w:t>(Deulkar P, 2024)</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4779908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Kem25 \l 1036 </w:instrText>
          </w:r>
          <w:r>
            <w:rPr>
              <w:rFonts w:asciiTheme="minorBidi" w:hAnsiTheme="minorBidi"/>
              <w:b/>
              <w:bCs/>
              <w:sz w:val="24"/>
              <w:szCs w:val="24"/>
            </w:rPr>
            <w:fldChar w:fldCharType="separate"/>
          </w:r>
          <w:r>
            <w:rPr>
              <w:rFonts w:asciiTheme="minorBidi" w:hAnsiTheme="minorBidi"/>
              <w:b/>
              <w:bCs/>
              <w:sz w:val="24"/>
              <w:szCs w:val="24"/>
            </w:rPr>
            <w:t>(Kemna RE, 2025)</w:t>
          </w:r>
          <w:r>
            <w:rPr>
              <w:rFonts w:asciiTheme="minorBidi" w:hAnsiTheme="minorBidi"/>
              <w:b/>
              <w:bCs/>
              <w:sz w:val="24"/>
              <w:szCs w:val="24"/>
            </w:rPr>
            <w:fldChar w:fldCharType="end"/>
          </w:r>
        </w:sdtContent>
      </w:sdt>
    </w:p>
    <w:p w14:paraId="1983FC54" w14:textId="77777777" w:rsidR="00502BB2" w:rsidRDefault="0069123E">
      <w:pPr>
        <w:keepNext/>
        <w:spacing w:line="360" w:lineRule="auto"/>
        <w:jc w:val="center"/>
      </w:pPr>
      <w:r>
        <w:rPr>
          <w:rFonts w:asciiTheme="minorBidi" w:hAnsiTheme="minorBidi"/>
          <w:noProof/>
          <w:sz w:val="24"/>
          <w:szCs w:val="24"/>
        </w:rPr>
        <w:drawing>
          <wp:inline distT="0" distB="0" distL="0" distR="0" wp14:anchorId="119D118F" wp14:editId="51B74642">
            <wp:extent cx="4338955" cy="2943225"/>
            <wp:effectExtent l="0" t="0" r="4445" b="0"/>
            <wp:docPr id="11293564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356432" name="Picture 1"/>
                    <pic:cNvPicPr>
                      <a:picLocks noChangeAspect="1"/>
                    </pic:cNvPicPr>
                  </pic:nvPicPr>
                  <pic:blipFill>
                    <a:blip r:embed="rId40"/>
                    <a:stretch>
                      <a:fillRect/>
                    </a:stretch>
                  </pic:blipFill>
                  <pic:spPr>
                    <a:xfrm>
                      <a:off x="0" y="0"/>
                      <a:ext cx="4367208" cy="2961987"/>
                    </a:xfrm>
                    <a:prstGeom prst="rect">
                      <a:avLst/>
                    </a:prstGeom>
                  </pic:spPr>
                </pic:pic>
              </a:graphicData>
            </a:graphic>
          </wp:inline>
        </w:drawing>
      </w:r>
    </w:p>
    <w:p w14:paraId="7773D59D" w14:textId="416C0A32" w:rsidR="00502BB2" w:rsidRDefault="0069123E">
      <w:pPr>
        <w:pStyle w:val="Caption"/>
        <w:jc w:val="center"/>
        <w:rPr>
          <w:rFonts w:asciiTheme="minorBidi" w:hAnsiTheme="minorBidi"/>
          <w:b/>
          <w:bCs/>
          <w:sz w:val="24"/>
          <w:szCs w:val="24"/>
        </w:rPr>
      </w:pPr>
      <w:bookmarkStart w:id="46" w:name="_Toc225723021"/>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17</w:t>
      </w:r>
      <w:r>
        <w:rPr>
          <w:rFonts w:asciiTheme="minorBidi" w:hAnsiTheme="minorBidi"/>
          <w:b/>
          <w:bCs/>
          <w:sz w:val="24"/>
          <w:szCs w:val="24"/>
        </w:rPr>
        <w:fldChar w:fldCharType="end"/>
      </w:r>
      <w:r>
        <w:rPr>
          <w:rFonts w:asciiTheme="minorBidi" w:hAnsiTheme="minorBidi"/>
          <w:sz w:val="24"/>
          <w:szCs w:val="24"/>
        </w:rPr>
        <w:t xml:space="preserve"> : Figure des différentes voies de productions du Lactate. </w:t>
      </w:r>
      <w:r>
        <w:rPr>
          <w:rFonts w:asciiTheme="minorBidi" w:hAnsiTheme="minorBidi"/>
          <w:b/>
          <w:bCs/>
          <w:sz w:val="24"/>
          <w:szCs w:val="24"/>
        </w:rPr>
        <w:t>(</w:t>
      </w:r>
      <w:proofErr w:type="spellStart"/>
      <w:r>
        <w:rPr>
          <w:rFonts w:asciiTheme="minorBidi" w:hAnsiTheme="minorBidi"/>
          <w:b/>
          <w:bCs/>
          <w:sz w:val="24"/>
          <w:szCs w:val="24"/>
        </w:rPr>
        <w:t>Deulkar</w:t>
      </w:r>
      <w:proofErr w:type="spellEnd"/>
      <w:r>
        <w:rPr>
          <w:rFonts w:asciiTheme="minorBidi" w:hAnsiTheme="minorBidi"/>
          <w:b/>
          <w:bCs/>
          <w:sz w:val="24"/>
          <w:szCs w:val="24"/>
        </w:rPr>
        <w:t xml:space="preserve"> P, 2024)</w:t>
      </w:r>
      <w:bookmarkEnd w:id="46"/>
    </w:p>
    <w:p w14:paraId="31D6E398"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 lactate joue également un rôle d’intermédiaire métabolique dans la néoglucogenèse via le cycle de Cori. Il est transporté d’un organe à un autre grâce aux transporteurs MCT1 et MTC4, notamment vers le foie, les reins, le cœur et les neurones, où il est reconverti en glucose, contribuant ainsi au maintien de l’homéostasie énergétique (</w:t>
      </w:r>
      <w:r>
        <w:rPr>
          <w:rFonts w:asciiTheme="minorBidi" w:hAnsiTheme="minorBidi"/>
          <w:b/>
          <w:bCs/>
          <w:sz w:val="24"/>
          <w:szCs w:val="24"/>
        </w:rPr>
        <w:t>figure18).</w:t>
      </w:r>
      <w:sdt>
        <w:sdtPr>
          <w:rPr>
            <w:rFonts w:asciiTheme="minorBidi" w:hAnsiTheme="minorBidi"/>
            <w:b/>
            <w:bCs/>
            <w:sz w:val="24"/>
            <w:szCs w:val="24"/>
          </w:rPr>
          <w:id w:val="-177308614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Deu24 \l 1036 </w:instrText>
          </w:r>
          <w:r>
            <w:rPr>
              <w:rFonts w:asciiTheme="minorBidi" w:hAnsiTheme="minorBidi"/>
              <w:b/>
              <w:bCs/>
              <w:sz w:val="24"/>
              <w:szCs w:val="24"/>
            </w:rPr>
            <w:fldChar w:fldCharType="separate"/>
          </w:r>
          <w:r>
            <w:rPr>
              <w:rFonts w:asciiTheme="minorBidi" w:hAnsiTheme="minorBidi"/>
              <w:b/>
              <w:bCs/>
              <w:sz w:val="24"/>
              <w:szCs w:val="24"/>
            </w:rPr>
            <w:t xml:space="preserve"> (Deulkar P, 2024)</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210746134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Kem25 \l 1036 </w:instrText>
          </w:r>
          <w:r>
            <w:rPr>
              <w:rFonts w:asciiTheme="minorBidi" w:hAnsiTheme="minorBidi"/>
              <w:b/>
              <w:bCs/>
              <w:sz w:val="24"/>
              <w:szCs w:val="24"/>
            </w:rPr>
            <w:fldChar w:fldCharType="separate"/>
          </w:r>
          <w:r>
            <w:rPr>
              <w:rFonts w:asciiTheme="minorBidi" w:hAnsiTheme="minorBidi"/>
              <w:b/>
              <w:bCs/>
              <w:sz w:val="24"/>
              <w:szCs w:val="24"/>
            </w:rPr>
            <w:t>(Kemna RE, 2025)</w:t>
          </w:r>
          <w:r>
            <w:rPr>
              <w:rFonts w:asciiTheme="minorBidi" w:hAnsiTheme="minorBidi"/>
              <w:b/>
              <w:bCs/>
              <w:sz w:val="24"/>
              <w:szCs w:val="24"/>
            </w:rPr>
            <w:fldChar w:fldCharType="end"/>
          </w:r>
        </w:sdtContent>
      </w:sdt>
    </w:p>
    <w:p w14:paraId="1BE605ED"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7F0F2B5D" wp14:editId="03FF8361">
            <wp:extent cx="4610100" cy="2967990"/>
            <wp:effectExtent l="0" t="0" r="0" b="3810"/>
            <wp:docPr id="1170208589" name="Picture 8" descr="The Cori cycle between lactate/pyruvate and glucose serves to transport energy from the liver to peripheral tissues as glucose. The glucose/glycerol cycle exists primarily between the adipose tissue and the liver. Our data indicate the existence of an interaction between these two futile cycles, dependent on the presence of PPAR. The increased width of the hepatic glycerol flux arrow and the decreased width of muscle lactate flux arrow reflect the changes seen for the PPAR KO mouse glucose metabolome. The PPAR KO mouse has a less active Cori cycle and a more active glucose/glycerol cycle compared with the WT (LPL, lipoprotein lipase; HSL, hormone-sensitive lipase). Note that the hypoglycemia seen in the fasted and fed states for the PPAR KO mouse, despite increased hepatic glucose production, implies the possibility of increased glucose utilization by musc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208589" name="Picture 8" descr="The Cori cycle between lactate/pyruvate and glucose serves to transport energy from the liver to peripheral tissues as glucose. The glucose/glycerol cycle exists primarily between the adipose tissue and the liver. Our data indicate the existence of an interaction between these two futile cycles, dependent on the presence of PPAR. The increased width of the hepatic glycerol flux arrow and the decreased width of muscle lactate flux arrow reflect the changes seen for the PPAR KO mouse glucose metabolome. The PPAR KO mouse has a less active Cori cycle and a more active glucose/glycerol cycle compared with the WT (LPL, lipoprotein lipase; HSL, hormone-sensitive lipase). Note that the hypoglycemia seen in the fasted and fed states for the PPAR KO mouse, despite increased hepatic glucose production, implies the possibility of increased glucose utilization by muscle.  "/>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4647216" cy="2992105"/>
                    </a:xfrm>
                    <a:prstGeom prst="rect">
                      <a:avLst/>
                    </a:prstGeom>
                    <a:noFill/>
                    <a:ln>
                      <a:noFill/>
                    </a:ln>
                  </pic:spPr>
                </pic:pic>
              </a:graphicData>
            </a:graphic>
          </wp:inline>
        </w:drawing>
      </w:r>
    </w:p>
    <w:p w14:paraId="627E286B" w14:textId="2AC7939B" w:rsidR="00502BB2" w:rsidRDefault="0069123E">
      <w:pPr>
        <w:pStyle w:val="Caption"/>
        <w:jc w:val="center"/>
        <w:rPr>
          <w:rFonts w:asciiTheme="minorBidi" w:hAnsiTheme="minorBidi"/>
          <w:sz w:val="24"/>
          <w:szCs w:val="24"/>
        </w:rPr>
      </w:pPr>
      <w:bookmarkStart w:id="47" w:name="_Toc225723022"/>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18</w:t>
      </w:r>
      <w:r>
        <w:rPr>
          <w:rFonts w:asciiTheme="minorBidi" w:hAnsiTheme="minorBidi"/>
          <w:b/>
          <w:bCs/>
          <w:sz w:val="24"/>
          <w:szCs w:val="24"/>
        </w:rPr>
        <w:fldChar w:fldCharType="end"/>
      </w:r>
      <w:r>
        <w:rPr>
          <w:rFonts w:asciiTheme="minorBidi" w:hAnsiTheme="minorBidi"/>
          <w:sz w:val="24"/>
          <w:szCs w:val="24"/>
        </w:rPr>
        <w:t xml:space="preserve"> : Figure du trajet de Lactate dans l'organisme et cycle de Cori</w:t>
      </w:r>
      <w:r>
        <w:t xml:space="preserve">. </w:t>
      </w:r>
      <w:sdt>
        <w:sdtPr>
          <w:rPr>
            <w:rFonts w:asciiTheme="minorBidi" w:hAnsiTheme="minorBidi"/>
            <w:b/>
            <w:bCs/>
            <w:sz w:val="24"/>
            <w:szCs w:val="24"/>
          </w:rPr>
          <w:id w:val="86957481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XuJ02 \l 1036 </w:instrText>
          </w:r>
          <w:r>
            <w:rPr>
              <w:rFonts w:asciiTheme="minorBidi" w:hAnsiTheme="minorBidi"/>
              <w:b/>
              <w:bCs/>
              <w:sz w:val="24"/>
              <w:szCs w:val="24"/>
            </w:rPr>
            <w:fldChar w:fldCharType="separate"/>
          </w:r>
          <w:r>
            <w:rPr>
              <w:rFonts w:asciiTheme="minorBidi" w:hAnsiTheme="minorBidi"/>
              <w:b/>
              <w:bCs/>
              <w:sz w:val="24"/>
              <w:szCs w:val="24"/>
            </w:rPr>
            <w:t xml:space="preserve"> (Xu, 2002)</w:t>
          </w:r>
          <w:r>
            <w:rPr>
              <w:rFonts w:asciiTheme="minorBidi" w:hAnsiTheme="minorBidi"/>
              <w:b/>
              <w:bCs/>
              <w:sz w:val="24"/>
              <w:szCs w:val="24"/>
            </w:rPr>
            <w:fldChar w:fldCharType="end"/>
          </w:r>
        </w:sdtContent>
      </w:sdt>
      <w:bookmarkEnd w:id="47"/>
    </w:p>
    <w:p w14:paraId="1CE16A1D" w14:textId="77777777" w:rsidR="00502BB2" w:rsidRDefault="0069123E">
      <w:pPr>
        <w:pStyle w:val="Heading3"/>
        <w:rPr>
          <w:rFonts w:asciiTheme="minorBidi" w:hAnsiTheme="minorBidi" w:cstheme="minorBidi"/>
          <w:b/>
          <w:bCs/>
          <w:color w:val="0D0D0D" w:themeColor="text1" w:themeTint="F2"/>
          <w:sz w:val="24"/>
          <w:szCs w:val="24"/>
        </w:rPr>
      </w:pPr>
      <w:bookmarkStart w:id="48" w:name="_Toc226577332"/>
      <w:r>
        <w:rPr>
          <w:rFonts w:asciiTheme="minorBidi" w:hAnsiTheme="minorBidi" w:cstheme="minorBidi"/>
          <w:b/>
          <w:bCs/>
          <w:color w:val="0D0D0D" w:themeColor="text1" w:themeTint="F2"/>
          <w:sz w:val="24"/>
          <w:szCs w:val="24"/>
        </w:rPr>
        <w:t>2. L’état physiopathologique :</w:t>
      </w:r>
      <w:bookmarkEnd w:id="48"/>
    </w:p>
    <w:p w14:paraId="0EB09AD4"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Sur le plan physiopathologique, le lactate représente un biomarqueur essentiel pour l’évaluation de l’état des patients. Il fournit des informations pronostiques importantes et contribue à orienter le diagnostic, la prise en charge et les stratégies thérapeutiques.</w:t>
      </w:r>
      <w:sdt>
        <w:sdtPr>
          <w:rPr>
            <w:rFonts w:asciiTheme="minorBidi" w:hAnsiTheme="minorBidi"/>
            <w:b/>
            <w:bCs/>
            <w:sz w:val="24"/>
            <w:szCs w:val="24"/>
          </w:rPr>
          <w:id w:val="161918022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Deu24 \l 1036 </w:instrText>
          </w:r>
          <w:r>
            <w:rPr>
              <w:rFonts w:asciiTheme="minorBidi" w:hAnsiTheme="minorBidi"/>
              <w:b/>
              <w:bCs/>
              <w:sz w:val="24"/>
              <w:szCs w:val="24"/>
            </w:rPr>
            <w:fldChar w:fldCharType="separate"/>
          </w:r>
          <w:r>
            <w:rPr>
              <w:rFonts w:asciiTheme="minorBidi" w:hAnsiTheme="minorBidi"/>
              <w:b/>
              <w:bCs/>
              <w:sz w:val="24"/>
              <w:szCs w:val="24"/>
            </w:rPr>
            <w:t xml:space="preserve"> (Deulkar P, 2024)</w:t>
          </w:r>
          <w:r>
            <w:rPr>
              <w:rFonts w:asciiTheme="minorBidi" w:hAnsiTheme="minorBidi"/>
              <w:b/>
              <w:bCs/>
              <w:sz w:val="24"/>
              <w:szCs w:val="24"/>
            </w:rPr>
            <w:fldChar w:fldCharType="end"/>
          </w:r>
        </w:sdtContent>
      </w:sdt>
      <w:r>
        <w:rPr>
          <w:rFonts w:asciiTheme="minorBidi" w:hAnsiTheme="minorBidi"/>
          <w:b/>
          <w:bCs/>
          <w:sz w:val="24"/>
          <w:szCs w:val="24"/>
        </w:rPr>
        <w:t xml:space="preserve">, </w:t>
      </w:r>
      <w:sdt>
        <w:sdtPr>
          <w:rPr>
            <w:rFonts w:asciiTheme="minorBidi" w:hAnsiTheme="minorBidi"/>
            <w:b/>
            <w:bCs/>
            <w:sz w:val="24"/>
            <w:szCs w:val="24"/>
          </w:rPr>
          <w:id w:val="-146687899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Kil25 \l 1036 </w:instrText>
          </w:r>
          <w:r>
            <w:rPr>
              <w:rFonts w:asciiTheme="minorBidi" w:hAnsiTheme="minorBidi"/>
              <w:b/>
              <w:bCs/>
              <w:sz w:val="24"/>
              <w:szCs w:val="24"/>
            </w:rPr>
            <w:fldChar w:fldCharType="separate"/>
          </w:r>
          <w:r>
            <w:rPr>
              <w:rFonts w:asciiTheme="minorBidi" w:hAnsiTheme="minorBidi"/>
              <w:b/>
              <w:bCs/>
              <w:sz w:val="24"/>
              <w:szCs w:val="24"/>
            </w:rPr>
            <w:t>(Kilic &amp; Akman, 2025)</w:t>
          </w:r>
          <w:r>
            <w:rPr>
              <w:rFonts w:asciiTheme="minorBidi" w:hAnsiTheme="minorBidi"/>
              <w:b/>
              <w:bCs/>
              <w:sz w:val="24"/>
              <w:szCs w:val="24"/>
            </w:rPr>
            <w:fldChar w:fldCharType="end"/>
          </w:r>
        </w:sdtContent>
      </w:sdt>
    </w:p>
    <w:p w14:paraId="283064A6"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Lorsque sa concentration plasmatique dépasse les valeurs physiologiques (≈ 0,5–1 </w:t>
      </w:r>
      <w:proofErr w:type="spellStart"/>
      <w:r>
        <w:rPr>
          <w:rFonts w:asciiTheme="minorBidi" w:hAnsiTheme="minorBidi"/>
          <w:sz w:val="24"/>
          <w:szCs w:val="24"/>
        </w:rPr>
        <w:t>mmol</w:t>
      </w:r>
      <w:proofErr w:type="spellEnd"/>
      <w:r>
        <w:rPr>
          <w:rFonts w:asciiTheme="minorBidi" w:hAnsiTheme="minorBidi"/>
          <w:sz w:val="24"/>
          <w:szCs w:val="24"/>
        </w:rPr>
        <w:t>/L), le lactate devient un indicateur de stress métabolique et un puissant prédicteur de morbidité et de mortalité. Une élévation significative est fréquemment associée à un état d’hypoperfusion ou d’hypoxie tissulaire. Cette situation entraîne une augmentation relative de la glycolyse anaérobie, traduisant une inadéquation entre les besoins énergétiques cellulaires, généralement associée à l’utilisation de médicaments inotropes ou vasopresseurs, ou à la nécessité d’adapter la prise en charge thérapeuti</w:t>
      </w:r>
      <w:r>
        <w:rPr>
          <w:rFonts w:asciiTheme="minorBidi" w:hAnsiTheme="minorBidi"/>
          <w:sz w:val="24"/>
          <w:szCs w:val="24"/>
        </w:rPr>
        <w:t>que, notamment en cas d’atteinte de la fonction rénale (</w:t>
      </w:r>
      <w:r>
        <w:rPr>
          <w:rFonts w:asciiTheme="minorBidi" w:hAnsiTheme="minorBidi"/>
          <w:b/>
          <w:bCs/>
          <w:sz w:val="24"/>
          <w:szCs w:val="24"/>
        </w:rPr>
        <w:t>figure 19</w:t>
      </w:r>
      <w:r>
        <w:rPr>
          <w:rFonts w:asciiTheme="minorBidi" w:hAnsiTheme="minorBidi"/>
          <w:sz w:val="24"/>
          <w:szCs w:val="24"/>
        </w:rPr>
        <w:t>).</w:t>
      </w:r>
      <w:sdt>
        <w:sdtPr>
          <w:rPr>
            <w:rFonts w:asciiTheme="minorBidi" w:hAnsiTheme="minorBidi"/>
            <w:b/>
            <w:bCs/>
            <w:sz w:val="24"/>
            <w:szCs w:val="24"/>
          </w:rPr>
          <w:id w:val="-59477998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Deu24 \l 1036 </w:instrText>
          </w:r>
          <w:r>
            <w:rPr>
              <w:rFonts w:asciiTheme="minorBidi" w:hAnsiTheme="minorBidi"/>
              <w:b/>
              <w:bCs/>
              <w:sz w:val="24"/>
              <w:szCs w:val="24"/>
            </w:rPr>
            <w:fldChar w:fldCharType="separate"/>
          </w:r>
          <w:r>
            <w:rPr>
              <w:rFonts w:asciiTheme="minorBidi" w:hAnsiTheme="minorBidi"/>
              <w:b/>
              <w:bCs/>
              <w:sz w:val="24"/>
              <w:szCs w:val="24"/>
            </w:rPr>
            <w:t xml:space="preserve"> (Deulkar P, 2024)</w:t>
          </w:r>
          <w:r>
            <w:rPr>
              <w:rFonts w:asciiTheme="minorBidi" w:hAnsiTheme="minorBidi"/>
              <w:b/>
              <w:bCs/>
              <w:sz w:val="24"/>
              <w:szCs w:val="24"/>
            </w:rPr>
            <w:fldChar w:fldCharType="end"/>
          </w:r>
        </w:sdtContent>
      </w:sdt>
    </w:p>
    <w:p w14:paraId="6391FF88"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7C5FC5A0" wp14:editId="012D7D78">
            <wp:extent cx="6108065" cy="3467100"/>
            <wp:effectExtent l="0" t="0" r="6985" b="0"/>
            <wp:docPr id="871546441" name="Picture 11" descr="Ijms 26 03469 g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546441" name="Picture 11" descr="Ijms 26 03469 g00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a:xfrm>
                      <a:off x="0" y="0"/>
                      <a:ext cx="6121616" cy="3474448"/>
                    </a:xfrm>
                    <a:prstGeom prst="rect">
                      <a:avLst/>
                    </a:prstGeom>
                    <a:noFill/>
                    <a:ln>
                      <a:noFill/>
                    </a:ln>
                  </pic:spPr>
                </pic:pic>
              </a:graphicData>
            </a:graphic>
          </wp:inline>
        </w:drawing>
      </w:r>
    </w:p>
    <w:p w14:paraId="7304EC54" w14:textId="64E6F2A3" w:rsidR="00502BB2" w:rsidRDefault="0069123E">
      <w:pPr>
        <w:pStyle w:val="Caption"/>
        <w:jc w:val="center"/>
        <w:rPr>
          <w:rFonts w:asciiTheme="minorBidi" w:hAnsiTheme="minorBidi"/>
          <w:sz w:val="24"/>
          <w:szCs w:val="24"/>
        </w:rPr>
      </w:pPr>
      <w:bookmarkStart w:id="49" w:name="_Toc225723023"/>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19</w:t>
      </w:r>
      <w:r>
        <w:rPr>
          <w:rFonts w:asciiTheme="minorBidi" w:hAnsiTheme="minorBidi"/>
          <w:b/>
          <w:bCs/>
          <w:sz w:val="24"/>
          <w:szCs w:val="24"/>
        </w:rPr>
        <w:fldChar w:fldCharType="end"/>
      </w:r>
      <w:r>
        <w:rPr>
          <w:rFonts w:asciiTheme="minorBidi" w:hAnsiTheme="minorBidi"/>
          <w:sz w:val="24"/>
          <w:szCs w:val="24"/>
        </w:rPr>
        <w:t xml:space="preserve"> : Figure du phénomène de Lactylation. </w:t>
      </w:r>
      <w:r>
        <w:rPr>
          <w:rFonts w:asciiTheme="minorBidi" w:hAnsiTheme="minorBidi"/>
          <w:b/>
          <w:bCs/>
          <w:sz w:val="24"/>
          <w:szCs w:val="24"/>
        </w:rPr>
        <w:t>(</w:t>
      </w:r>
      <w:proofErr w:type="spellStart"/>
      <w:r>
        <w:rPr>
          <w:rFonts w:asciiTheme="minorBidi" w:hAnsiTheme="minorBidi"/>
          <w:b/>
          <w:bCs/>
          <w:sz w:val="24"/>
          <w:szCs w:val="24"/>
        </w:rPr>
        <w:t>Guannan</w:t>
      </w:r>
      <w:proofErr w:type="spellEnd"/>
      <w:r>
        <w:rPr>
          <w:rFonts w:asciiTheme="minorBidi" w:hAnsiTheme="minorBidi"/>
          <w:b/>
          <w:bCs/>
          <w:sz w:val="24"/>
          <w:szCs w:val="24"/>
        </w:rPr>
        <w:t xml:space="preserve"> Chen, 2025)</w:t>
      </w:r>
      <w:bookmarkEnd w:id="49"/>
    </w:p>
    <w:p w14:paraId="1EEB503F"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Une hyperlactatémie est généralement observée pour des concentrations comprises entre 2 et 4 </w:t>
      </w:r>
      <w:proofErr w:type="spellStart"/>
      <w:r>
        <w:rPr>
          <w:rFonts w:asciiTheme="minorBidi" w:hAnsiTheme="minorBidi"/>
          <w:sz w:val="24"/>
          <w:szCs w:val="24"/>
        </w:rPr>
        <w:t>mmol</w:t>
      </w:r>
      <w:proofErr w:type="spellEnd"/>
      <w:r>
        <w:rPr>
          <w:rFonts w:asciiTheme="minorBidi" w:hAnsiTheme="minorBidi"/>
          <w:sz w:val="24"/>
          <w:szCs w:val="24"/>
        </w:rPr>
        <w:t xml:space="preserve">/L. Elle s’interprète en association avec d’autres paramètres biologiques et cliniques tels que la saturation en oxygène, le pH sanguin, l’anion gap et les signes cliniques de choc. Elle peut être observée dans diverses situations pathologiques, notamment le sepsis, la dysfonction hépatique (altération de la clairance), la dysfonction cardiaque, l’insuffisance respiratoire ou certains désordres métaboliques </w:t>
      </w:r>
      <w:r>
        <w:rPr>
          <w:rFonts w:asciiTheme="minorBidi" w:hAnsiTheme="minorBidi"/>
          <w:b/>
          <w:bCs/>
          <w:sz w:val="24"/>
          <w:szCs w:val="24"/>
        </w:rPr>
        <w:t>(figure19) (tableau 7).</w:t>
      </w:r>
      <w:sdt>
        <w:sdtPr>
          <w:rPr>
            <w:rFonts w:asciiTheme="minorBidi" w:hAnsiTheme="minorBidi"/>
            <w:b/>
            <w:bCs/>
            <w:sz w:val="24"/>
            <w:szCs w:val="24"/>
          </w:rPr>
          <w:id w:val="-48871428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Deu24 \l 1036 </w:instrText>
          </w:r>
          <w:r>
            <w:rPr>
              <w:rFonts w:asciiTheme="minorBidi" w:hAnsiTheme="minorBidi"/>
              <w:b/>
              <w:bCs/>
              <w:sz w:val="24"/>
              <w:szCs w:val="24"/>
            </w:rPr>
            <w:fldChar w:fldCharType="separate"/>
          </w:r>
          <w:r>
            <w:rPr>
              <w:rFonts w:asciiTheme="minorBidi" w:hAnsiTheme="minorBidi"/>
              <w:b/>
              <w:bCs/>
              <w:sz w:val="24"/>
              <w:szCs w:val="24"/>
            </w:rPr>
            <w:t xml:space="preserve"> (Deulkar P, 2024)</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45136751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Ağa25 \l 1036 </w:instrText>
          </w:r>
          <w:r>
            <w:rPr>
              <w:rFonts w:asciiTheme="minorBidi" w:hAnsiTheme="minorBidi"/>
              <w:b/>
              <w:bCs/>
              <w:sz w:val="24"/>
              <w:szCs w:val="24"/>
            </w:rPr>
            <w:fldChar w:fldCharType="separate"/>
          </w:r>
          <w:r>
            <w:rPr>
              <w:rFonts w:asciiTheme="minorBidi" w:hAnsiTheme="minorBidi"/>
              <w:b/>
              <w:bCs/>
              <w:sz w:val="24"/>
              <w:szCs w:val="24"/>
            </w:rPr>
            <w:t>(Ağaçkıran İ, 2025)</w:t>
          </w:r>
          <w:r>
            <w:rPr>
              <w:rFonts w:asciiTheme="minorBidi" w:hAnsiTheme="minorBidi"/>
              <w:b/>
              <w:bCs/>
              <w:sz w:val="24"/>
              <w:szCs w:val="24"/>
            </w:rPr>
            <w:fldChar w:fldCharType="end"/>
          </w:r>
        </w:sdtContent>
      </w:sdt>
    </w:p>
    <w:p w14:paraId="447252EF" w14:textId="71BDA26E" w:rsidR="00502BB2" w:rsidRDefault="0069123E">
      <w:pPr>
        <w:pStyle w:val="Caption"/>
        <w:keepNext/>
        <w:rPr>
          <w:rFonts w:asciiTheme="minorBidi" w:hAnsiTheme="minorBidi"/>
          <w:sz w:val="24"/>
          <w:szCs w:val="24"/>
        </w:rPr>
      </w:pPr>
      <w:bookmarkStart w:id="50" w:name="_Toc226577302"/>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7</w:t>
      </w:r>
      <w:r>
        <w:rPr>
          <w:rFonts w:asciiTheme="minorBidi" w:hAnsiTheme="minorBidi"/>
          <w:b/>
          <w:bCs/>
          <w:sz w:val="24"/>
          <w:szCs w:val="24"/>
        </w:rPr>
        <w:fldChar w:fldCharType="end"/>
      </w:r>
      <w:r>
        <w:rPr>
          <w:rFonts w:asciiTheme="minorBidi" w:hAnsiTheme="minorBidi"/>
          <w:sz w:val="24"/>
          <w:szCs w:val="24"/>
        </w:rPr>
        <w:t xml:space="preserve"> : Le rôle de lactate dans différentes situations clinique. </w:t>
      </w:r>
      <w:r>
        <w:rPr>
          <w:rFonts w:asciiTheme="minorBidi" w:hAnsiTheme="minorBidi"/>
          <w:b/>
          <w:bCs/>
          <w:sz w:val="24"/>
          <w:szCs w:val="24"/>
        </w:rPr>
        <w:t>(</w:t>
      </w:r>
      <w:proofErr w:type="spellStart"/>
      <w:r>
        <w:rPr>
          <w:rFonts w:asciiTheme="minorBidi" w:hAnsiTheme="minorBidi"/>
          <w:b/>
          <w:bCs/>
          <w:sz w:val="24"/>
          <w:szCs w:val="24"/>
        </w:rPr>
        <w:t>Deulkar</w:t>
      </w:r>
      <w:proofErr w:type="spellEnd"/>
      <w:r>
        <w:rPr>
          <w:rFonts w:asciiTheme="minorBidi" w:hAnsiTheme="minorBidi"/>
          <w:b/>
          <w:bCs/>
          <w:sz w:val="24"/>
          <w:szCs w:val="24"/>
        </w:rPr>
        <w:t xml:space="preserve"> P, 2024)</w:t>
      </w:r>
      <w:bookmarkEnd w:id="50"/>
    </w:p>
    <w:tbl>
      <w:tblPr>
        <w:tblStyle w:val="PlainTable51"/>
        <w:tblW w:w="0" w:type="auto"/>
        <w:shd w:val="clear" w:color="auto" w:fill="F2F2F2" w:themeFill="background1" w:themeFillShade="F2"/>
        <w:tblLook w:val="04A0" w:firstRow="1" w:lastRow="0" w:firstColumn="1" w:lastColumn="0" w:noHBand="0" w:noVBand="1"/>
      </w:tblPr>
      <w:tblGrid>
        <w:gridCol w:w="2372"/>
        <w:gridCol w:w="3535"/>
        <w:gridCol w:w="3499"/>
      </w:tblGrid>
      <w:tr w:rsidR="00502BB2" w14:paraId="771C980B" w14:textId="77777777" w:rsidTr="00502B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F2F2F2" w:themeFill="background1" w:themeFillShade="F2"/>
          </w:tcPr>
          <w:p w14:paraId="70E470B0"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Situation / Condition</w:t>
            </w:r>
          </w:p>
        </w:tc>
        <w:tc>
          <w:tcPr>
            <w:tcW w:w="0" w:type="auto"/>
            <w:shd w:val="clear" w:color="auto" w:fill="F2F2F2" w:themeFill="background1" w:themeFillShade="F2"/>
          </w:tcPr>
          <w:p w14:paraId="06C4164A"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Rôle du lactate</w:t>
            </w:r>
          </w:p>
        </w:tc>
        <w:tc>
          <w:tcPr>
            <w:tcW w:w="0" w:type="auto"/>
            <w:shd w:val="clear" w:color="auto" w:fill="F2F2F2" w:themeFill="background1" w:themeFillShade="F2"/>
          </w:tcPr>
          <w:p w14:paraId="2B97BC39"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Implications cliniques</w:t>
            </w:r>
          </w:p>
        </w:tc>
      </w:tr>
      <w:tr w:rsidR="00502BB2" w14:paraId="581C1539"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1F01C6D3"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Sepsis</w:t>
            </w:r>
          </w:p>
        </w:tc>
        <w:tc>
          <w:tcPr>
            <w:tcW w:w="0" w:type="auto"/>
            <w:shd w:val="clear" w:color="auto" w:fill="F2F2F2" w:themeFill="background1" w:themeFillShade="F2"/>
          </w:tcPr>
          <w:p w14:paraId="223544A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L’élévation du lactate traduit une hypoperfusion tissulaire et une hypoxie cellulaire.</w:t>
            </w:r>
          </w:p>
        </w:tc>
        <w:tc>
          <w:tcPr>
            <w:tcW w:w="0" w:type="auto"/>
            <w:shd w:val="clear" w:color="auto" w:fill="F2F2F2" w:themeFill="background1" w:themeFillShade="F2"/>
          </w:tcPr>
          <w:p w14:paraId="70967BE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Marqueur de sévérité et facteur pronostique ; utile pour évaluer le risque évolutif.</w:t>
            </w:r>
          </w:p>
        </w:tc>
      </w:tr>
      <w:tr w:rsidR="00502BB2" w14:paraId="406F74F0"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867107C"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Choc (septique, hypovolémique, etc.)</w:t>
            </w:r>
          </w:p>
        </w:tc>
        <w:tc>
          <w:tcPr>
            <w:tcW w:w="0" w:type="auto"/>
            <w:shd w:val="clear" w:color="auto" w:fill="F2F2F2" w:themeFill="background1" w:themeFillShade="F2"/>
          </w:tcPr>
          <w:p w14:paraId="34F04AA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Augmentation liée à une production accrue et à une diminution de la clairance.</w:t>
            </w:r>
          </w:p>
        </w:tc>
        <w:tc>
          <w:tcPr>
            <w:tcW w:w="0" w:type="auto"/>
            <w:shd w:val="clear" w:color="auto" w:fill="F2F2F2" w:themeFill="background1" w:themeFillShade="F2"/>
          </w:tcPr>
          <w:p w14:paraId="016CA7D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Sert au suivi de la réponse thérapeutique et guide la réanimation liquidienne.</w:t>
            </w:r>
          </w:p>
        </w:tc>
      </w:tr>
      <w:tr w:rsidR="00502BB2" w14:paraId="7E1FBDEE"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EE5FDDF"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lastRenderedPageBreak/>
              <w:t>Maladie critique</w:t>
            </w:r>
          </w:p>
        </w:tc>
        <w:tc>
          <w:tcPr>
            <w:tcW w:w="0" w:type="auto"/>
            <w:shd w:val="clear" w:color="auto" w:fill="F2F2F2" w:themeFill="background1" w:themeFillShade="F2"/>
          </w:tcPr>
          <w:p w14:paraId="28491B6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Reflète l’équilibre entre production et élimination du lactate.</w:t>
            </w:r>
          </w:p>
        </w:tc>
        <w:tc>
          <w:tcPr>
            <w:tcW w:w="0" w:type="auto"/>
            <w:shd w:val="clear" w:color="auto" w:fill="F2F2F2" w:themeFill="background1" w:themeFillShade="F2"/>
          </w:tcPr>
          <w:p w14:paraId="17ADB5A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Des taux élevés sont associés à un mauvais pronostic et nécessitent une surveillance intensive.</w:t>
            </w:r>
          </w:p>
        </w:tc>
      </w:tr>
      <w:tr w:rsidR="00502BB2" w14:paraId="3117D052"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2C65EFB"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Exercice physique</w:t>
            </w:r>
          </w:p>
        </w:tc>
        <w:tc>
          <w:tcPr>
            <w:tcW w:w="0" w:type="auto"/>
            <w:shd w:val="clear" w:color="auto" w:fill="F2F2F2" w:themeFill="background1" w:themeFillShade="F2"/>
          </w:tcPr>
          <w:p w14:paraId="2F367F0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Produit lors du métabolisme anaérobie ; reflète la performance musculaire et la fatigue.</w:t>
            </w:r>
          </w:p>
        </w:tc>
        <w:tc>
          <w:tcPr>
            <w:tcW w:w="0" w:type="auto"/>
            <w:shd w:val="clear" w:color="auto" w:fill="F2F2F2" w:themeFill="background1" w:themeFillShade="F2"/>
          </w:tcPr>
          <w:p w14:paraId="58B4F49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Utile pour évaluer la performance sportive et la récupération.</w:t>
            </w:r>
          </w:p>
        </w:tc>
      </w:tr>
      <w:tr w:rsidR="00502BB2" w14:paraId="3371DFFF"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99FAB9C"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Diabète sucré</w:t>
            </w:r>
          </w:p>
        </w:tc>
        <w:tc>
          <w:tcPr>
            <w:tcW w:w="0" w:type="auto"/>
            <w:shd w:val="clear" w:color="auto" w:fill="F2F2F2" w:themeFill="background1" w:themeFillShade="F2"/>
          </w:tcPr>
          <w:p w14:paraId="7D8766F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Une élévation peut indiquer une décompensation métabolique.</w:t>
            </w:r>
          </w:p>
        </w:tc>
        <w:tc>
          <w:tcPr>
            <w:tcW w:w="0" w:type="auto"/>
            <w:shd w:val="clear" w:color="auto" w:fill="F2F2F2" w:themeFill="background1" w:themeFillShade="F2"/>
          </w:tcPr>
          <w:p w14:paraId="4E87310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Le suivi du lactate aide à la prise en charge des états métaboliques sévères.</w:t>
            </w:r>
          </w:p>
        </w:tc>
      </w:tr>
      <w:tr w:rsidR="00502BB2" w14:paraId="25726C1E"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2AB016B"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Maladie hépatique</w:t>
            </w:r>
          </w:p>
        </w:tc>
        <w:tc>
          <w:tcPr>
            <w:tcW w:w="0" w:type="auto"/>
            <w:shd w:val="clear" w:color="auto" w:fill="F2F2F2" w:themeFill="background1" w:themeFillShade="F2"/>
          </w:tcPr>
          <w:p w14:paraId="65624028"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Diminution de la clairance du lactate en raison d’une dysfonction hépatique.</w:t>
            </w:r>
          </w:p>
        </w:tc>
        <w:tc>
          <w:tcPr>
            <w:tcW w:w="0" w:type="auto"/>
            <w:shd w:val="clear" w:color="auto" w:fill="F2F2F2" w:themeFill="background1" w:themeFillShade="F2"/>
          </w:tcPr>
          <w:p w14:paraId="05443A0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Peut servir d’indicateur de la fonction hépatique et de la sévérité de l’atteinte.</w:t>
            </w:r>
          </w:p>
        </w:tc>
      </w:tr>
      <w:tr w:rsidR="00502BB2" w14:paraId="6A39A1F2"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1AA8B5F"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Maladies respiratoires</w:t>
            </w:r>
          </w:p>
        </w:tc>
        <w:tc>
          <w:tcPr>
            <w:tcW w:w="0" w:type="auto"/>
            <w:shd w:val="clear" w:color="auto" w:fill="F2F2F2" w:themeFill="background1" w:themeFillShade="F2"/>
          </w:tcPr>
          <w:p w14:paraId="76B1987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Augmentation secondaire à l’hypoxie et à une altération de l’apport en oxygène.</w:t>
            </w:r>
          </w:p>
        </w:tc>
        <w:tc>
          <w:tcPr>
            <w:tcW w:w="0" w:type="auto"/>
            <w:shd w:val="clear" w:color="auto" w:fill="F2F2F2" w:themeFill="background1" w:themeFillShade="F2"/>
          </w:tcPr>
          <w:p w14:paraId="163429F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Aide à évaluer la gravité de l’atteinte respiratoire.</w:t>
            </w:r>
          </w:p>
        </w:tc>
      </w:tr>
    </w:tbl>
    <w:p w14:paraId="40069EE0" w14:textId="77777777" w:rsidR="00502BB2" w:rsidRDefault="00502BB2">
      <w:pPr>
        <w:spacing w:line="360" w:lineRule="auto"/>
        <w:rPr>
          <w:rFonts w:asciiTheme="minorBidi" w:hAnsiTheme="minorBidi"/>
          <w:sz w:val="24"/>
          <w:szCs w:val="24"/>
        </w:rPr>
      </w:pPr>
    </w:p>
    <w:p w14:paraId="5909C8AC" w14:textId="77777777" w:rsidR="00502BB2" w:rsidRDefault="0069123E">
      <w:pPr>
        <w:pStyle w:val="Heading3"/>
        <w:rPr>
          <w:rFonts w:asciiTheme="minorBidi" w:hAnsiTheme="minorBidi" w:cstheme="minorBidi"/>
          <w:b/>
          <w:bCs/>
          <w:color w:val="0D0D0D" w:themeColor="text1" w:themeTint="F2"/>
          <w:sz w:val="24"/>
          <w:szCs w:val="24"/>
        </w:rPr>
      </w:pPr>
      <w:bookmarkStart w:id="51" w:name="_Toc226577333"/>
      <w:r>
        <w:rPr>
          <w:rFonts w:asciiTheme="minorBidi" w:hAnsiTheme="minorBidi" w:cstheme="minorBidi"/>
          <w:b/>
          <w:bCs/>
          <w:color w:val="0D0D0D" w:themeColor="text1" w:themeTint="F2"/>
          <w:sz w:val="24"/>
          <w:szCs w:val="24"/>
        </w:rPr>
        <w:t>3.  Lactate et diabète :</w:t>
      </w:r>
      <w:bookmarkEnd w:id="51"/>
    </w:p>
    <w:p w14:paraId="67644B65" w14:textId="77777777" w:rsidR="00502BB2" w:rsidRDefault="0069123E">
      <w:pPr>
        <w:spacing w:line="360" w:lineRule="auto"/>
        <w:jc w:val="both"/>
        <w:rPr>
          <w:rFonts w:asciiTheme="minorBidi" w:hAnsiTheme="minorBidi"/>
          <w:sz w:val="24"/>
          <w:szCs w:val="24"/>
        </w:rPr>
      </w:pPr>
      <w:r>
        <w:rPr>
          <w:rFonts w:asciiTheme="minorBidi" w:hAnsiTheme="minorBidi"/>
          <w:sz w:val="24"/>
          <w:szCs w:val="24"/>
        </w:rPr>
        <w:t>Le taux de glycémie et l’insuline assurent l’homéostasie de l’équilibre entre la production et l’utilisation du lactate, en régulant la glycolyse et en inhibant la lipolyse (</w:t>
      </w:r>
      <w:r>
        <w:rPr>
          <w:rFonts w:asciiTheme="minorBidi" w:hAnsiTheme="minorBidi"/>
          <w:b/>
          <w:bCs/>
          <w:sz w:val="24"/>
          <w:szCs w:val="24"/>
        </w:rPr>
        <w:t>figure 20</w:t>
      </w:r>
      <w:r>
        <w:rPr>
          <w:rFonts w:asciiTheme="minorBidi" w:hAnsiTheme="minorBidi"/>
          <w:sz w:val="24"/>
          <w:szCs w:val="24"/>
        </w:rPr>
        <w:t>). Cependant, dans un état d’hyperlactatémie associé à un hyperinsulinisme, notamment dans le diabète de type 2, l’utilisation de certains traitements tels que la metformine peut favoriser le développement d’atteintes d’organes, en particulier des dysfonctions rénales. Ce phénomène est lié à des mécanismes de signalisation moléculaire impliquant les récepteurs couplés aux protéines G (RCPGi, RCPGo), largement exprimés dans différents types cellulaires de l’organisme (RCP81, RCP123, RCP4).</w:t>
      </w:r>
      <w:sdt>
        <w:sdtPr>
          <w:rPr>
            <w:rFonts w:asciiTheme="minorBidi" w:hAnsiTheme="minorBidi"/>
            <w:b/>
            <w:bCs/>
            <w:sz w:val="24"/>
            <w:szCs w:val="24"/>
          </w:rPr>
          <w:id w:val="187726977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Siy25 \l 1036 </w:instrText>
          </w:r>
          <w:r>
            <w:rPr>
              <w:rFonts w:asciiTheme="minorBidi" w:hAnsiTheme="minorBidi"/>
              <w:b/>
              <w:bCs/>
              <w:sz w:val="24"/>
              <w:szCs w:val="24"/>
            </w:rPr>
            <w:fldChar w:fldCharType="separate"/>
          </w:r>
          <w:r>
            <w:rPr>
              <w:rFonts w:asciiTheme="minorBidi" w:hAnsiTheme="minorBidi"/>
              <w:b/>
              <w:bCs/>
              <w:sz w:val="24"/>
              <w:szCs w:val="24"/>
            </w:rPr>
            <w:t xml:space="preserve"> (Siyu Guo, 2025)</w:t>
          </w:r>
          <w:r>
            <w:rPr>
              <w:rFonts w:asciiTheme="minorBidi" w:hAnsiTheme="minorBidi"/>
              <w:b/>
              <w:bCs/>
              <w:sz w:val="24"/>
              <w:szCs w:val="24"/>
            </w:rPr>
            <w:fldChar w:fldCharType="end"/>
          </w:r>
        </w:sdtContent>
      </w:sdt>
    </w:p>
    <w:p w14:paraId="0DAD4486"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49331F43" wp14:editId="49432FCC">
            <wp:extent cx="5590540" cy="3371850"/>
            <wp:effectExtent l="0" t="0" r="0" b="0"/>
            <wp:docPr id="378509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50922" name="Picture 1"/>
                    <pic:cNvPicPr>
                      <a:picLocks noChangeAspect="1"/>
                    </pic:cNvPicPr>
                  </pic:nvPicPr>
                  <pic:blipFill>
                    <a:blip r:embed="rId43"/>
                    <a:stretch>
                      <a:fillRect/>
                    </a:stretch>
                  </pic:blipFill>
                  <pic:spPr>
                    <a:xfrm>
                      <a:off x="0" y="0"/>
                      <a:ext cx="5605108" cy="3380482"/>
                    </a:xfrm>
                    <a:prstGeom prst="rect">
                      <a:avLst/>
                    </a:prstGeom>
                  </pic:spPr>
                </pic:pic>
              </a:graphicData>
            </a:graphic>
          </wp:inline>
        </w:drawing>
      </w:r>
    </w:p>
    <w:p w14:paraId="4B2A928F" w14:textId="55AF630F" w:rsidR="00502BB2" w:rsidRDefault="0069123E">
      <w:pPr>
        <w:pStyle w:val="Caption"/>
        <w:jc w:val="center"/>
        <w:rPr>
          <w:rFonts w:asciiTheme="minorBidi" w:hAnsiTheme="minorBidi"/>
          <w:sz w:val="24"/>
          <w:szCs w:val="24"/>
        </w:rPr>
      </w:pPr>
      <w:bookmarkStart w:id="52" w:name="_Toc225723024"/>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20</w:t>
      </w:r>
      <w:r>
        <w:rPr>
          <w:rFonts w:asciiTheme="minorBidi" w:hAnsiTheme="minorBidi"/>
          <w:b/>
          <w:bCs/>
          <w:sz w:val="24"/>
          <w:szCs w:val="24"/>
        </w:rPr>
        <w:fldChar w:fldCharType="end"/>
      </w:r>
      <w:r>
        <w:rPr>
          <w:rFonts w:asciiTheme="minorBidi" w:hAnsiTheme="minorBidi"/>
          <w:sz w:val="24"/>
          <w:szCs w:val="24"/>
        </w:rPr>
        <w:t xml:space="preserve"> : Figure sur la vois de signalisation du lactate dans le diabète </w:t>
      </w:r>
      <w:r>
        <w:rPr>
          <w:rFonts w:asciiTheme="minorBidi" w:hAnsiTheme="minorBidi"/>
          <w:b/>
          <w:bCs/>
          <w:sz w:val="24"/>
          <w:szCs w:val="24"/>
        </w:rPr>
        <w:t>(Siyu Guo, 2025)</w:t>
      </w:r>
      <w:bookmarkEnd w:id="52"/>
    </w:p>
    <w:p w14:paraId="3B455589"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Au-delà de son rôle dans la régulation du métabolisme cellulaire, notamment à travers l’activité enzymatique et les protéines de signalisation, le lactate intervient également dans la modulation de l’expression génique. Ce processus s’effectue par des modifications post-traductionnelles des histones, en particulier la Lactylation de l’histone H3K18 (H3K18la), qui modifie l’état de la chromatine et influence l’épigénétique dans divers processus pathologiques </w:t>
      </w:r>
      <w:r>
        <w:rPr>
          <w:rFonts w:asciiTheme="minorBidi" w:hAnsiTheme="minorBidi"/>
          <w:b/>
          <w:bCs/>
          <w:sz w:val="24"/>
          <w:szCs w:val="24"/>
        </w:rPr>
        <w:t>(figure 13) (tableau 8).</w:t>
      </w:r>
      <w:sdt>
        <w:sdtPr>
          <w:rPr>
            <w:rFonts w:asciiTheme="minorBidi" w:hAnsiTheme="minorBidi"/>
            <w:b/>
            <w:bCs/>
            <w:sz w:val="24"/>
            <w:szCs w:val="24"/>
          </w:rPr>
          <w:id w:val="-45425164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Siy25 \l 1036 </w:instrText>
          </w:r>
          <w:r>
            <w:rPr>
              <w:rFonts w:asciiTheme="minorBidi" w:hAnsiTheme="minorBidi"/>
              <w:b/>
              <w:bCs/>
              <w:sz w:val="24"/>
              <w:szCs w:val="24"/>
            </w:rPr>
            <w:fldChar w:fldCharType="separate"/>
          </w:r>
          <w:r>
            <w:rPr>
              <w:rFonts w:asciiTheme="minorBidi" w:hAnsiTheme="minorBidi"/>
              <w:b/>
              <w:bCs/>
              <w:sz w:val="24"/>
              <w:szCs w:val="24"/>
            </w:rPr>
            <w:t xml:space="preserve"> (Siyu Guo, 2025)</w:t>
          </w:r>
          <w:r>
            <w:rPr>
              <w:rFonts w:asciiTheme="minorBidi" w:hAnsiTheme="minorBidi"/>
              <w:b/>
              <w:bCs/>
              <w:sz w:val="24"/>
              <w:szCs w:val="24"/>
            </w:rPr>
            <w:fldChar w:fldCharType="end"/>
          </w:r>
        </w:sdtContent>
      </w:sdt>
    </w:p>
    <w:p w14:paraId="6DEF3D96" w14:textId="76E2534D" w:rsidR="00502BB2" w:rsidRDefault="0069123E">
      <w:pPr>
        <w:pStyle w:val="Caption"/>
        <w:keepNext/>
        <w:rPr>
          <w:rFonts w:asciiTheme="minorBidi" w:hAnsiTheme="minorBidi"/>
          <w:sz w:val="24"/>
          <w:szCs w:val="24"/>
        </w:rPr>
      </w:pPr>
      <w:bookmarkStart w:id="53" w:name="_Toc226577303"/>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8</w:t>
      </w:r>
      <w:r>
        <w:rPr>
          <w:rFonts w:asciiTheme="minorBidi" w:hAnsiTheme="minorBidi"/>
          <w:b/>
          <w:bCs/>
          <w:sz w:val="24"/>
          <w:szCs w:val="24"/>
        </w:rPr>
        <w:fldChar w:fldCharType="end"/>
      </w:r>
      <w:r>
        <w:rPr>
          <w:rFonts w:asciiTheme="minorBidi" w:hAnsiTheme="minorBidi"/>
          <w:b/>
          <w:bCs/>
          <w:sz w:val="24"/>
          <w:szCs w:val="24"/>
        </w:rPr>
        <w:t xml:space="preserve"> :</w:t>
      </w:r>
      <w:r>
        <w:rPr>
          <w:rFonts w:asciiTheme="minorBidi" w:hAnsiTheme="minorBidi"/>
          <w:sz w:val="24"/>
          <w:szCs w:val="24"/>
        </w:rPr>
        <w:t xml:space="preserve"> Implication de la Lactylation dans différents processus physiopathologiques. </w:t>
      </w:r>
      <w:r>
        <w:rPr>
          <w:rFonts w:asciiTheme="minorBidi" w:hAnsiTheme="minorBidi"/>
          <w:b/>
          <w:bCs/>
          <w:sz w:val="24"/>
          <w:szCs w:val="24"/>
        </w:rPr>
        <w:t>(Siyu Guo, 2025)</w:t>
      </w:r>
      <w:bookmarkEnd w:id="53"/>
    </w:p>
    <w:tbl>
      <w:tblPr>
        <w:tblStyle w:val="PlainTable51"/>
        <w:tblW w:w="0" w:type="auto"/>
        <w:jc w:val="center"/>
        <w:shd w:val="clear" w:color="auto" w:fill="F2F2F2" w:themeFill="background1" w:themeFillShade="F2"/>
        <w:tblLook w:val="04A0" w:firstRow="1" w:lastRow="0" w:firstColumn="1" w:lastColumn="0" w:noHBand="0" w:noVBand="1"/>
      </w:tblPr>
      <w:tblGrid>
        <w:gridCol w:w="2120"/>
        <w:gridCol w:w="1886"/>
        <w:gridCol w:w="1837"/>
        <w:gridCol w:w="1272"/>
        <w:gridCol w:w="2291"/>
      </w:tblGrid>
      <w:tr w:rsidR="00502BB2" w14:paraId="098DD681" w14:textId="77777777" w:rsidTr="00502BB2">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0" w:type="auto"/>
            <w:shd w:val="clear" w:color="auto" w:fill="F2F2F2" w:themeFill="background1" w:themeFillShade="F2"/>
          </w:tcPr>
          <w:p w14:paraId="0E1A9503"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Processus physiopathologique</w:t>
            </w:r>
          </w:p>
        </w:tc>
        <w:tc>
          <w:tcPr>
            <w:tcW w:w="0" w:type="auto"/>
            <w:shd w:val="clear" w:color="auto" w:fill="F2F2F2" w:themeFill="background1" w:themeFillShade="F2"/>
          </w:tcPr>
          <w:p w14:paraId="2CD34EC3"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Maladie</w:t>
            </w:r>
          </w:p>
        </w:tc>
        <w:tc>
          <w:tcPr>
            <w:tcW w:w="0" w:type="auto"/>
            <w:shd w:val="clear" w:color="auto" w:fill="F2F2F2" w:themeFill="background1" w:themeFillShade="F2"/>
          </w:tcPr>
          <w:p w14:paraId="41814AEF"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Type cellulaire</w:t>
            </w:r>
          </w:p>
        </w:tc>
        <w:tc>
          <w:tcPr>
            <w:tcW w:w="0" w:type="auto"/>
            <w:shd w:val="clear" w:color="auto" w:fill="F2F2F2" w:themeFill="background1" w:themeFillShade="F2"/>
          </w:tcPr>
          <w:p w14:paraId="1824803A"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Substrat de Lactylation</w:t>
            </w:r>
          </w:p>
        </w:tc>
        <w:tc>
          <w:tcPr>
            <w:tcW w:w="0" w:type="auto"/>
            <w:shd w:val="clear" w:color="auto" w:fill="F2F2F2" w:themeFill="background1" w:themeFillShade="F2"/>
          </w:tcPr>
          <w:p w14:paraId="4B57FCE6"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i w:val="0"/>
                <w:iCs w:val="0"/>
                <w:sz w:val="24"/>
                <w:szCs w:val="24"/>
              </w:rPr>
            </w:pPr>
            <w:r>
              <w:rPr>
                <w:rFonts w:asciiTheme="minorBidi" w:hAnsiTheme="minorBidi"/>
                <w:sz w:val="24"/>
                <w:szCs w:val="24"/>
              </w:rPr>
              <w:t>Effets</w:t>
            </w:r>
          </w:p>
        </w:tc>
      </w:tr>
      <w:tr w:rsidR="00502BB2" w14:paraId="2493A90D"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16AC943"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EMT</w:t>
            </w:r>
          </w:p>
        </w:tc>
        <w:tc>
          <w:tcPr>
            <w:tcW w:w="0" w:type="auto"/>
            <w:shd w:val="clear" w:color="auto" w:fill="F2F2F2" w:themeFill="background1" w:themeFillShade="F2"/>
          </w:tcPr>
          <w:p w14:paraId="18B7E43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Cancer gastrique</w:t>
            </w:r>
          </w:p>
        </w:tc>
        <w:tc>
          <w:tcPr>
            <w:tcW w:w="0" w:type="auto"/>
            <w:shd w:val="clear" w:color="auto" w:fill="F2F2F2" w:themeFill="background1" w:themeFillShade="F2"/>
          </w:tcPr>
          <w:p w14:paraId="61BBA3EB"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CAF</w:t>
            </w:r>
          </w:p>
        </w:tc>
        <w:tc>
          <w:tcPr>
            <w:tcW w:w="0" w:type="auto"/>
            <w:shd w:val="clear" w:color="auto" w:fill="F2F2F2" w:themeFill="background1" w:themeFillShade="F2"/>
          </w:tcPr>
          <w:p w14:paraId="768C4B3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H3K18</w:t>
            </w:r>
          </w:p>
        </w:tc>
        <w:tc>
          <w:tcPr>
            <w:tcW w:w="0" w:type="auto"/>
            <w:shd w:val="clear" w:color="auto" w:fill="F2F2F2" w:themeFill="background1" w:themeFillShade="F2"/>
          </w:tcPr>
          <w:p w14:paraId="7F2E0C1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 xml:space="preserve">Favorise la transcription de PD-L1 et la </w:t>
            </w:r>
            <w:r>
              <w:rPr>
                <w:rFonts w:asciiTheme="minorBidi" w:hAnsiTheme="minorBidi"/>
                <w:sz w:val="24"/>
                <w:szCs w:val="24"/>
              </w:rPr>
              <w:lastRenderedPageBreak/>
              <w:t>migration des cellules du cancer gastrique</w:t>
            </w:r>
          </w:p>
        </w:tc>
      </w:tr>
      <w:tr w:rsidR="00502BB2" w14:paraId="7951D367"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FC91C95"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CHC</w:t>
            </w:r>
          </w:p>
        </w:tc>
        <w:tc>
          <w:tcPr>
            <w:tcW w:w="0" w:type="auto"/>
            <w:shd w:val="clear" w:color="auto" w:fill="F2F2F2" w:themeFill="background1" w:themeFillShade="F2"/>
          </w:tcPr>
          <w:p w14:paraId="715A573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Carcinome hépatocellulaire</w:t>
            </w:r>
          </w:p>
        </w:tc>
        <w:tc>
          <w:tcPr>
            <w:tcW w:w="0" w:type="auto"/>
            <w:shd w:val="clear" w:color="auto" w:fill="F2F2F2" w:themeFill="background1" w:themeFillShade="F2"/>
          </w:tcPr>
          <w:p w14:paraId="31CFF58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de CHC</w:t>
            </w:r>
          </w:p>
        </w:tc>
        <w:tc>
          <w:tcPr>
            <w:tcW w:w="0" w:type="auto"/>
            <w:shd w:val="clear" w:color="auto" w:fill="F2F2F2" w:themeFill="background1" w:themeFillShade="F2"/>
          </w:tcPr>
          <w:p w14:paraId="120BFAB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H3K9, H3K56</w:t>
            </w:r>
          </w:p>
        </w:tc>
        <w:tc>
          <w:tcPr>
            <w:tcW w:w="0" w:type="auto"/>
            <w:shd w:val="clear" w:color="auto" w:fill="F2F2F2" w:themeFill="background1" w:themeFillShade="F2"/>
          </w:tcPr>
          <w:p w14:paraId="709E05C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l’expression de ESM1 et la transition vers un phénotype malin</w:t>
            </w:r>
          </w:p>
        </w:tc>
      </w:tr>
      <w:tr w:rsidR="00502BB2" w14:paraId="0E50BC68"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3280456"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w:t>
            </w:r>
          </w:p>
        </w:tc>
        <w:tc>
          <w:tcPr>
            <w:tcW w:w="0" w:type="auto"/>
            <w:shd w:val="clear" w:color="auto" w:fill="F2F2F2" w:themeFill="background1" w:themeFillShade="F2"/>
          </w:tcPr>
          <w:p w14:paraId="413B4310"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Cancer gastrique</w:t>
            </w:r>
          </w:p>
        </w:tc>
        <w:tc>
          <w:tcPr>
            <w:tcW w:w="0" w:type="auto"/>
            <w:shd w:val="clear" w:color="auto" w:fill="F2F2F2" w:themeFill="background1" w:themeFillShade="F2"/>
          </w:tcPr>
          <w:p w14:paraId="1988A54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de cancer gastrique</w:t>
            </w:r>
          </w:p>
        </w:tc>
        <w:tc>
          <w:tcPr>
            <w:tcW w:w="0" w:type="auto"/>
            <w:shd w:val="clear" w:color="auto" w:fill="F2F2F2" w:themeFill="background1" w:themeFillShade="F2"/>
          </w:tcPr>
          <w:p w14:paraId="2A38DD1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H3K18</w:t>
            </w:r>
          </w:p>
        </w:tc>
        <w:tc>
          <w:tcPr>
            <w:tcW w:w="0" w:type="auto"/>
            <w:shd w:val="clear" w:color="auto" w:fill="F2F2F2" w:themeFill="background1" w:themeFillShade="F2"/>
          </w:tcPr>
          <w:p w14:paraId="6287C9A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la transcription de VCAM1 et l’immunosuppression</w:t>
            </w:r>
          </w:p>
        </w:tc>
      </w:tr>
      <w:tr w:rsidR="00502BB2" w14:paraId="351CCCED"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A588AFE"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w:t>
            </w:r>
          </w:p>
        </w:tc>
        <w:tc>
          <w:tcPr>
            <w:tcW w:w="0" w:type="auto"/>
            <w:shd w:val="clear" w:color="auto" w:fill="F2F2F2" w:themeFill="background1" w:themeFillShade="F2"/>
          </w:tcPr>
          <w:p w14:paraId="41D9085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Cancer du foie</w:t>
            </w:r>
          </w:p>
        </w:tc>
        <w:tc>
          <w:tcPr>
            <w:tcW w:w="0" w:type="auto"/>
            <w:shd w:val="clear" w:color="auto" w:fill="F2F2F2" w:themeFill="background1" w:themeFillShade="F2"/>
          </w:tcPr>
          <w:p w14:paraId="3E22CCA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de cancer du foie</w:t>
            </w:r>
          </w:p>
        </w:tc>
        <w:tc>
          <w:tcPr>
            <w:tcW w:w="0" w:type="auto"/>
            <w:shd w:val="clear" w:color="auto" w:fill="F2F2F2" w:themeFill="background1" w:themeFillShade="F2"/>
          </w:tcPr>
          <w:p w14:paraId="5812CA1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TWIST1 K33</w:t>
            </w:r>
          </w:p>
        </w:tc>
        <w:tc>
          <w:tcPr>
            <w:tcW w:w="0" w:type="auto"/>
            <w:shd w:val="clear" w:color="auto" w:fill="F2F2F2" w:themeFill="background1" w:themeFillShade="F2"/>
          </w:tcPr>
          <w:p w14:paraId="63E0760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la translocation nucléaire de TWIST1 et la progression tumorale</w:t>
            </w:r>
          </w:p>
        </w:tc>
      </w:tr>
      <w:tr w:rsidR="00502BB2" w14:paraId="2959676D"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CEE6688"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Fibrose pulmonaire induite par la silice</w:t>
            </w:r>
          </w:p>
        </w:tc>
        <w:tc>
          <w:tcPr>
            <w:tcW w:w="0" w:type="auto"/>
            <w:shd w:val="clear" w:color="auto" w:fill="F2F2F2" w:themeFill="background1" w:themeFillShade="F2"/>
          </w:tcPr>
          <w:p w14:paraId="50E03F5B"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Fibrose pulmonaire</w:t>
            </w:r>
          </w:p>
        </w:tc>
        <w:tc>
          <w:tcPr>
            <w:tcW w:w="0" w:type="auto"/>
            <w:shd w:val="clear" w:color="auto" w:fill="F2F2F2" w:themeFill="background1" w:themeFillShade="F2"/>
          </w:tcPr>
          <w:p w14:paraId="45EB58A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épithéliales bronchiques humaines</w:t>
            </w:r>
          </w:p>
        </w:tc>
        <w:tc>
          <w:tcPr>
            <w:tcW w:w="0" w:type="auto"/>
            <w:shd w:val="clear" w:color="auto" w:fill="F2F2F2" w:themeFill="background1" w:themeFillShade="F2"/>
          </w:tcPr>
          <w:p w14:paraId="70B3F8C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H3K18</w:t>
            </w:r>
          </w:p>
        </w:tc>
        <w:tc>
          <w:tcPr>
            <w:tcW w:w="0" w:type="auto"/>
            <w:shd w:val="clear" w:color="auto" w:fill="F2F2F2" w:themeFill="background1" w:themeFillShade="F2"/>
          </w:tcPr>
          <w:p w14:paraId="435B871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Augmente la transcription de SIX1 et la fibrose pulmonaire</w:t>
            </w:r>
          </w:p>
        </w:tc>
      </w:tr>
      <w:tr w:rsidR="00502BB2" w14:paraId="3E163DDE"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5E188AD"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w:t>
            </w:r>
          </w:p>
        </w:tc>
        <w:tc>
          <w:tcPr>
            <w:tcW w:w="0" w:type="auto"/>
            <w:shd w:val="clear" w:color="auto" w:fill="F2F2F2" w:themeFill="background1" w:themeFillShade="F2"/>
          </w:tcPr>
          <w:p w14:paraId="18454B0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Cancer de la vésicule biliaire</w:t>
            </w:r>
          </w:p>
        </w:tc>
        <w:tc>
          <w:tcPr>
            <w:tcW w:w="0" w:type="auto"/>
            <w:shd w:val="clear" w:color="auto" w:fill="F2F2F2" w:themeFill="background1" w:themeFillShade="F2"/>
          </w:tcPr>
          <w:p w14:paraId="355B76B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de cancer de la vésicule biliaire</w:t>
            </w:r>
          </w:p>
        </w:tc>
        <w:tc>
          <w:tcPr>
            <w:tcW w:w="0" w:type="auto"/>
            <w:shd w:val="clear" w:color="auto" w:fill="F2F2F2" w:themeFill="background1" w:themeFillShade="F2"/>
          </w:tcPr>
          <w:p w14:paraId="10E67FBC"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YY1 K183</w:t>
            </w:r>
          </w:p>
        </w:tc>
        <w:tc>
          <w:tcPr>
            <w:tcW w:w="0" w:type="auto"/>
            <w:shd w:val="clear" w:color="auto" w:fill="F2F2F2" w:themeFill="background1" w:themeFillShade="F2"/>
          </w:tcPr>
          <w:p w14:paraId="75BF11A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la transcription de FBXO33 et les métastases tumorales</w:t>
            </w:r>
          </w:p>
        </w:tc>
      </w:tr>
      <w:tr w:rsidR="00502BB2" w14:paraId="1D557A04"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65038A6"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Autophagie</w:t>
            </w:r>
          </w:p>
        </w:tc>
        <w:tc>
          <w:tcPr>
            <w:tcW w:w="0" w:type="auto"/>
            <w:shd w:val="clear" w:color="auto" w:fill="F2F2F2" w:themeFill="background1" w:themeFillShade="F2"/>
          </w:tcPr>
          <w:p w14:paraId="7E9A31A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Cancer du pancréas</w:t>
            </w:r>
          </w:p>
        </w:tc>
        <w:tc>
          <w:tcPr>
            <w:tcW w:w="0" w:type="auto"/>
            <w:shd w:val="clear" w:color="auto" w:fill="F2F2F2" w:themeFill="background1" w:themeFillShade="F2"/>
          </w:tcPr>
          <w:p w14:paraId="7C7110A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HeLa</w:t>
            </w:r>
          </w:p>
        </w:tc>
        <w:tc>
          <w:tcPr>
            <w:tcW w:w="0" w:type="auto"/>
            <w:shd w:val="clear" w:color="auto" w:fill="F2F2F2" w:themeFill="background1" w:themeFillShade="F2"/>
          </w:tcPr>
          <w:p w14:paraId="189940F9"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TFEB K91</w:t>
            </w:r>
          </w:p>
        </w:tc>
        <w:tc>
          <w:tcPr>
            <w:tcW w:w="0" w:type="auto"/>
            <w:shd w:val="clear" w:color="auto" w:fill="F2F2F2" w:themeFill="background1" w:themeFillShade="F2"/>
          </w:tcPr>
          <w:p w14:paraId="4A5E43A2"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 xml:space="preserve">Stabilise TFEB et augmente le </w:t>
            </w:r>
            <w:r>
              <w:rPr>
                <w:rFonts w:asciiTheme="minorBidi" w:hAnsiTheme="minorBidi"/>
                <w:sz w:val="24"/>
                <w:szCs w:val="24"/>
              </w:rPr>
              <w:lastRenderedPageBreak/>
              <w:t>niveau d’autophagie</w:t>
            </w:r>
          </w:p>
        </w:tc>
      </w:tr>
      <w:tr w:rsidR="00502BB2" w14:paraId="1CE3CD52"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336AEF6"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w:t>
            </w:r>
          </w:p>
        </w:tc>
        <w:tc>
          <w:tcPr>
            <w:tcW w:w="0" w:type="auto"/>
            <w:shd w:val="clear" w:color="auto" w:fill="F2F2F2" w:themeFill="background1" w:themeFillShade="F2"/>
          </w:tcPr>
          <w:p w14:paraId="13E3067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Cancer colorectal</w:t>
            </w:r>
          </w:p>
        </w:tc>
        <w:tc>
          <w:tcPr>
            <w:tcW w:w="0" w:type="auto"/>
            <w:shd w:val="clear" w:color="auto" w:fill="F2F2F2" w:themeFill="background1" w:themeFillShade="F2"/>
          </w:tcPr>
          <w:p w14:paraId="077B9059"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de cancer colorectal</w:t>
            </w:r>
          </w:p>
        </w:tc>
        <w:tc>
          <w:tcPr>
            <w:tcW w:w="0" w:type="auto"/>
            <w:shd w:val="clear" w:color="auto" w:fill="F2F2F2" w:themeFill="background1" w:themeFillShade="F2"/>
          </w:tcPr>
          <w:p w14:paraId="2A5D51A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H3K18</w:t>
            </w:r>
          </w:p>
        </w:tc>
        <w:tc>
          <w:tcPr>
            <w:tcW w:w="0" w:type="auto"/>
            <w:shd w:val="clear" w:color="auto" w:fill="F2F2F2" w:themeFill="background1" w:themeFillShade="F2"/>
          </w:tcPr>
          <w:p w14:paraId="5911D9F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l’autophagie et la survie des cellules cancéreuses</w:t>
            </w:r>
          </w:p>
        </w:tc>
      </w:tr>
      <w:tr w:rsidR="00502BB2" w14:paraId="2F367989"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A488E8A"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Dégénérescence du disque intervertébral</w:t>
            </w:r>
          </w:p>
        </w:tc>
        <w:tc>
          <w:tcPr>
            <w:tcW w:w="0" w:type="auto"/>
            <w:shd w:val="clear" w:color="auto" w:fill="F2F2F2" w:themeFill="background1" w:themeFillShade="F2"/>
          </w:tcPr>
          <w:p w14:paraId="7C913678"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Dégénérescence du disque intervertébral</w:t>
            </w:r>
          </w:p>
        </w:tc>
        <w:tc>
          <w:tcPr>
            <w:tcW w:w="0" w:type="auto"/>
            <w:shd w:val="clear" w:color="auto" w:fill="F2F2F2" w:themeFill="background1" w:themeFillShade="F2"/>
          </w:tcPr>
          <w:p w14:paraId="69E3A0D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du noyau pulpeux</w:t>
            </w:r>
          </w:p>
        </w:tc>
        <w:tc>
          <w:tcPr>
            <w:tcW w:w="0" w:type="auto"/>
            <w:shd w:val="clear" w:color="auto" w:fill="F2F2F2" w:themeFill="background1" w:themeFillShade="F2"/>
          </w:tcPr>
          <w:p w14:paraId="5C9E2CB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AMPKα</w:t>
            </w:r>
          </w:p>
        </w:tc>
        <w:tc>
          <w:tcPr>
            <w:tcW w:w="0" w:type="auto"/>
            <w:shd w:val="clear" w:color="auto" w:fill="F2F2F2" w:themeFill="background1" w:themeFillShade="F2"/>
          </w:tcPr>
          <w:p w14:paraId="3B25ABA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Induit la sénescence cellulaire et inhibe l’autophagie</w:t>
            </w:r>
          </w:p>
        </w:tc>
      </w:tr>
      <w:tr w:rsidR="00502BB2" w14:paraId="296787C6"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7E15722"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w:t>
            </w:r>
          </w:p>
        </w:tc>
        <w:tc>
          <w:tcPr>
            <w:tcW w:w="0" w:type="auto"/>
            <w:shd w:val="clear" w:color="auto" w:fill="F2F2F2" w:themeFill="background1" w:themeFillShade="F2"/>
          </w:tcPr>
          <w:p w14:paraId="7AD88F6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Adénocarcinome canalaire pancréatique</w:t>
            </w:r>
          </w:p>
        </w:tc>
        <w:tc>
          <w:tcPr>
            <w:tcW w:w="0" w:type="auto"/>
            <w:shd w:val="clear" w:color="auto" w:fill="F2F2F2" w:themeFill="background1" w:themeFillShade="F2"/>
          </w:tcPr>
          <w:p w14:paraId="61039E9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pancréatiques humaines</w:t>
            </w:r>
          </w:p>
        </w:tc>
        <w:tc>
          <w:tcPr>
            <w:tcW w:w="0" w:type="auto"/>
            <w:shd w:val="clear" w:color="auto" w:fill="F2F2F2" w:themeFill="background1" w:themeFillShade="F2"/>
          </w:tcPr>
          <w:p w14:paraId="62E7FE1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FOXO3</w:t>
            </w:r>
          </w:p>
        </w:tc>
        <w:tc>
          <w:tcPr>
            <w:tcW w:w="0" w:type="auto"/>
            <w:shd w:val="clear" w:color="auto" w:fill="F2F2F2" w:themeFill="background1" w:themeFillShade="F2"/>
          </w:tcPr>
          <w:p w14:paraId="790AABA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l’activation de l’autophagie</w:t>
            </w:r>
          </w:p>
        </w:tc>
      </w:tr>
      <w:tr w:rsidR="00502BB2" w14:paraId="7846B1C8"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3D07EA4"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w:t>
            </w:r>
          </w:p>
        </w:tc>
        <w:tc>
          <w:tcPr>
            <w:tcW w:w="0" w:type="auto"/>
            <w:shd w:val="clear" w:color="auto" w:fill="F2F2F2" w:themeFill="background1" w:themeFillShade="F2"/>
          </w:tcPr>
          <w:p w14:paraId="70970688"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Maladie d’Alzheimer</w:t>
            </w:r>
          </w:p>
        </w:tc>
        <w:tc>
          <w:tcPr>
            <w:tcW w:w="0" w:type="auto"/>
            <w:shd w:val="clear" w:color="auto" w:fill="F2F2F2" w:themeFill="background1" w:themeFillShade="F2"/>
          </w:tcPr>
          <w:p w14:paraId="6CE28F02"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Microglies</w:t>
            </w:r>
          </w:p>
        </w:tc>
        <w:tc>
          <w:tcPr>
            <w:tcW w:w="0" w:type="auto"/>
            <w:shd w:val="clear" w:color="auto" w:fill="F2F2F2" w:themeFill="background1" w:themeFillShade="F2"/>
          </w:tcPr>
          <w:p w14:paraId="4A95267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H4K12</w:t>
            </w:r>
          </w:p>
        </w:tc>
        <w:tc>
          <w:tcPr>
            <w:tcW w:w="0" w:type="auto"/>
            <w:shd w:val="clear" w:color="auto" w:fill="F2F2F2" w:themeFill="background1" w:themeFillShade="F2"/>
          </w:tcPr>
          <w:p w14:paraId="56F10B2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Augmente la transcription de NLRP3 et altère l’autophagie</w:t>
            </w:r>
          </w:p>
        </w:tc>
      </w:tr>
      <w:tr w:rsidR="00502BB2" w14:paraId="45E61A22"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B1F5033"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Endo MT</w:t>
            </w:r>
          </w:p>
        </w:tc>
        <w:tc>
          <w:tcPr>
            <w:tcW w:w="0" w:type="auto"/>
            <w:shd w:val="clear" w:color="auto" w:fill="F2F2F2" w:themeFill="background1" w:themeFillShade="F2"/>
          </w:tcPr>
          <w:p w14:paraId="0B5488D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Infarctus du myocarde</w:t>
            </w:r>
          </w:p>
        </w:tc>
        <w:tc>
          <w:tcPr>
            <w:tcW w:w="0" w:type="auto"/>
            <w:shd w:val="clear" w:color="auto" w:fill="F2F2F2" w:themeFill="background1" w:themeFillShade="F2"/>
          </w:tcPr>
          <w:p w14:paraId="4511C76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endothéliales</w:t>
            </w:r>
          </w:p>
        </w:tc>
        <w:tc>
          <w:tcPr>
            <w:tcW w:w="0" w:type="auto"/>
            <w:shd w:val="clear" w:color="auto" w:fill="F2F2F2" w:themeFill="background1" w:themeFillShade="F2"/>
          </w:tcPr>
          <w:p w14:paraId="561B1EC5"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Snail1</w:t>
            </w:r>
          </w:p>
        </w:tc>
        <w:tc>
          <w:tcPr>
            <w:tcW w:w="0" w:type="auto"/>
            <w:shd w:val="clear" w:color="auto" w:fill="F2F2F2" w:themeFill="background1" w:themeFillShade="F2"/>
          </w:tcPr>
          <w:p w14:paraId="6978446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la transcription de TGF-β et la fibrose cardiaque</w:t>
            </w:r>
          </w:p>
        </w:tc>
      </w:tr>
      <w:tr w:rsidR="00502BB2" w14:paraId="2A6D2EF0"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78572F4"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Lambeau ischémique (transplantation de lambeau)</w:t>
            </w:r>
          </w:p>
        </w:tc>
        <w:tc>
          <w:tcPr>
            <w:tcW w:w="0" w:type="auto"/>
            <w:shd w:val="clear" w:color="auto" w:fill="F2F2F2" w:themeFill="background1" w:themeFillShade="F2"/>
          </w:tcPr>
          <w:p w14:paraId="4597C3F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Ischémie tissulaire</w:t>
            </w:r>
          </w:p>
        </w:tc>
        <w:tc>
          <w:tcPr>
            <w:tcW w:w="0" w:type="auto"/>
            <w:shd w:val="clear" w:color="auto" w:fill="F2F2F2" w:themeFill="background1" w:themeFillShade="F2"/>
          </w:tcPr>
          <w:p w14:paraId="6A46E0C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endothéliales</w:t>
            </w:r>
          </w:p>
        </w:tc>
        <w:tc>
          <w:tcPr>
            <w:tcW w:w="0" w:type="auto"/>
            <w:shd w:val="clear" w:color="auto" w:fill="F2F2F2" w:themeFill="background1" w:themeFillShade="F2"/>
          </w:tcPr>
          <w:p w14:paraId="3C2B308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TWIST K150</w:t>
            </w:r>
          </w:p>
        </w:tc>
        <w:tc>
          <w:tcPr>
            <w:tcW w:w="0" w:type="auto"/>
            <w:shd w:val="clear" w:color="auto" w:fill="F2F2F2" w:themeFill="background1" w:themeFillShade="F2"/>
          </w:tcPr>
          <w:p w14:paraId="5FF08D6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la transcription de TGF-β et la fibrose cutanée</w:t>
            </w:r>
          </w:p>
        </w:tc>
      </w:tr>
      <w:tr w:rsidR="00502BB2" w14:paraId="6C81B4EF"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9AE7F76"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t>Fission mitochondriale</w:t>
            </w:r>
          </w:p>
        </w:tc>
        <w:tc>
          <w:tcPr>
            <w:tcW w:w="0" w:type="auto"/>
            <w:shd w:val="clear" w:color="auto" w:fill="F2F2F2" w:themeFill="background1" w:themeFillShade="F2"/>
          </w:tcPr>
          <w:p w14:paraId="765C964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Leucémie myéloïde aiguë</w:t>
            </w:r>
          </w:p>
        </w:tc>
        <w:tc>
          <w:tcPr>
            <w:tcW w:w="0" w:type="auto"/>
            <w:shd w:val="clear" w:color="auto" w:fill="F2F2F2" w:themeFill="background1" w:themeFillShade="F2"/>
          </w:tcPr>
          <w:p w14:paraId="58FDF569"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NK</w:t>
            </w:r>
          </w:p>
        </w:tc>
        <w:tc>
          <w:tcPr>
            <w:tcW w:w="0" w:type="auto"/>
            <w:shd w:val="clear" w:color="auto" w:fill="F2F2F2" w:themeFill="background1" w:themeFillShade="F2"/>
          </w:tcPr>
          <w:p w14:paraId="21BCB242"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ROCK1 K13</w:t>
            </w:r>
          </w:p>
        </w:tc>
        <w:tc>
          <w:tcPr>
            <w:tcW w:w="0" w:type="auto"/>
            <w:shd w:val="clear" w:color="auto" w:fill="F2F2F2" w:themeFill="background1" w:themeFillShade="F2"/>
          </w:tcPr>
          <w:p w14:paraId="5F0F642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Inhibe la signalisation ROCK1-Drp1 et la fragmentation mitochondriale</w:t>
            </w:r>
          </w:p>
        </w:tc>
      </w:tr>
      <w:tr w:rsidR="00502BB2" w14:paraId="4749EB40" w14:textId="77777777" w:rsidTr="00502BB2">
        <w:trPr>
          <w:jc w:val="center"/>
        </w:trPr>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7071854" w14:textId="77777777" w:rsidR="00502BB2" w:rsidRDefault="0069123E">
            <w:pPr>
              <w:spacing w:after="0" w:line="360" w:lineRule="auto"/>
              <w:rPr>
                <w:rFonts w:asciiTheme="minorBidi" w:hAnsiTheme="minorBidi"/>
                <w:i w:val="0"/>
                <w:iCs w:val="0"/>
                <w:sz w:val="24"/>
                <w:szCs w:val="24"/>
              </w:rPr>
            </w:pPr>
            <w:r>
              <w:rPr>
                <w:rFonts w:asciiTheme="minorBidi" w:hAnsiTheme="minorBidi"/>
                <w:sz w:val="24"/>
                <w:szCs w:val="24"/>
              </w:rPr>
              <w:lastRenderedPageBreak/>
              <w:t>—</w:t>
            </w:r>
          </w:p>
        </w:tc>
        <w:tc>
          <w:tcPr>
            <w:tcW w:w="0" w:type="auto"/>
            <w:shd w:val="clear" w:color="auto" w:fill="F2F2F2" w:themeFill="background1" w:themeFillShade="F2"/>
          </w:tcPr>
          <w:p w14:paraId="763D30B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Prééclampsie</w:t>
            </w:r>
          </w:p>
        </w:tc>
        <w:tc>
          <w:tcPr>
            <w:tcW w:w="0" w:type="auto"/>
            <w:shd w:val="clear" w:color="auto" w:fill="F2F2F2" w:themeFill="background1" w:themeFillShade="F2"/>
          </w:tcPr>
          <w:p w14:paraId="2483EE3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Cellules trophoblastiques</w:t>
            </w:r>
          </w:p>
        </w:tc>
        <w:tc>
          <w:tcPr>
            <w:tcW w:w="0" w:type="auto"/>
            <w:shd w:val="clear" w:color="auto" w:fill="F2F2F2" w:themeFill="background1" w:themeFillShade="F2"/>
          </w:tcPr>
          <w:p w14:paraId="7457BF39"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Hsp60 K469/473</w:t>
            </w:r>
          </w:p>
        </w:tc>
        <w:tc>
          <w:tcPr>
            <w:tcW w:w="0" w:type="auto"/>
            <w:shd w:val="clear" w:color="auto" w:fill="F2F2F2" w:themeFill="background1" w:themeFillShade="F2"/>
          </w:tcPr>
          <w:p w14:paraId="654FF3D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sz w:val="24"/>
                <w:szCs w:val="24"/>
              </w:rPr>
            </w:pPr>
            <w:r>
              <w:rPr>
                <w:rFonts w:asciiTheme="minorBidi" w:hAnsiTheme="minorBidi"/>
                <w:sz w:val="24"/>
                <w:szCs w:val="24"/>
              </w:rPr>
              <w:t>Favorise la phosphorylation de Drp1 et la fission mitochondriale</w:t>
            </w:r>
          </w:p>
        </w:tc>
      </w:tr>
    </w:tbl>
    <w:p w14:paraId="79D2CAEA" w14:textId="77777777" w:rsidR="00502BB2" w:rsidRDefault="00502BB2">
      <w:pPr>
        <w:spacing w:line="360" w:lineRule="auto"/>
        <w:rPr>
          <w:rFonts w:asciiTheme="minorBidi" w:hAnsiTheme="minorBidi"/>
          <w:sz w:val="24"/>
          <w:szCs w:val="24"/>
        </w:rPr>
      </w:pPr>
    </w:p>
    <w:p w14:paraId="26BF7CF4"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Cet état est notamment observé dans le diabète, où il contribue à la Lactylation dans les cellules du cœur, des reins et de la rétine, caractérisée par une augmentation des niveaux de lactyl-CoA. Toutefois, les mécanismes impliqués, ainsi que les enzymes et les facteurs initiateurs de ce processus, restent encore mal compris. La liaison du lactate s’effectue sur des résidus spécifiques, notamment la lysine et la sérine, jouant un rôle important dans les réactions inflammatoires </w:t>
      </w:r>
      <w:r>
        <w:rPr>
          <w:rFonts w:asciiTheme="minorBidi" w:hAnsiTheme="minorBidi"/>
          <w:b/>
          <w:bCs/>
          <w:sz w:val="24"/>
          <w:szCs w:val="24"/>
        </w:rPr>
        <w:t>(figure 21).</w:t>
      </w:r>
      <w:sdt>
        <w:sdtPr>
          <w:rPr>
            <w:rFonts w:asciiTheme="minorBidi" w:hAnsiTheme="minorBidi"/>
            <w:b/>
            <w:bCs/>
            <w:sz w:val="24"/>
            <w:szCs w:val="24"/>
          </w:rPr>
          <w:id w:val="37443612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Siy25 \l 1036 </w:instrText>
          </w:r>
          <w:r>
            <w:rPr>
              <w:rFonts w:asciiTheme="minorBidi" w:hAnsiTheme="minorBidi"/>
              <w:b/>
              <w:bCs/>
              <w:sz w:val="24"/>
              <w:szCs w:val="24"/>
            </w:rPr>
            <w:fldChar w:fldCharType="separate"/>
          </w:r>
          <w:r>
            <w:rPr>
              <w:rFonts w:asciiTheme="minorBidi" w:hAnsiTheme="minorBidi"/>
              <w:b/>
              <w:bCs/>
              <w:sz w:val="24"/>
              <w:szCs w:val="24"/>
            </w:rPr>
            <w:t xml:space="preserve"> (Siyu Guo, 2025)</w:t>
          </w:r>
          <w:r>
            <w:rPr>
              <w:rFonts w:asciiTheme="minorBidi" w:hAnsiTheme="minorBidi"/>
              <w:b/>
              <w:bCs/>
              <w:sz w:val="24"/>
              <w:szCs w:val="24"/>
            </w:rPr>
            <w:fldChar w:fldCharType="end"/>
          </w:r>
        </w:sdtContent>
      </w:sdt>
    </w:p>
    <w:p w14:paraId="1B295F8E" w14:textId="77777777" w:rsidR="00502BB2" w:rsidRDefault="0069123E">
      <w:pPr>
        <w:keepNext/>
        <w:spacing w:line="360" w:lineRule="auto"/>
        <w:jc w:val="center"/>
      </w:pPr>
      <w:r>
        <w:rPr>
          <w:rFonts w:asciiTheme="minorBidi" w:hAnsiTheme="minorBidi"/>
          <w:noProof/>
          <w:sz w:val="24"/>
          <w:szCs w:val="24"/>
        </w:rPr>
        <w:drawing>
          <wp:inline distT="0" distB="0" distL="0" distR="0" wp14:anchorId="318D7DFA" wp14:editId="1C26A3A2">
            <wp:extent cx="6233160" cy="3562350"/>
            <wp:effectExtent l="0" t="0" r="0" b="0"/>
            <wp:docPr id="1320361685" name="Picture 12" descr="Ijms 26 03469 g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61685" name="Picture 12" descr="Ijms 26 03469 g00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6256673" cy="3575567"/>
                    </a:xfrm>
                    <a:prstGeom prst="rect">
                      <a:avLst/>
                    </a:prstGeom>
                    <a:noFill/>
                    <a:ln>
                      <a:noFill/>
                    </a:ln>
                  </pic:spPr>
                </pic:pic>
              </a:graphicData>
            </a:graphic>
          </wp:inline>
        </w:drawing>
      </w:r>
    </w:p>
    <w:p w14:paraId="1D4385EE" w14:textId="2939D772" w:rsidR="00502BB2" w:rsidRDefault="0069123E">
      <w:pPr>
        <w:pStyle w:val="Caption"/>
        <w:jc w:val="center"/>
        <w:rPr>
          <w:rFonts w:asciiTheme="minorBidi" w:hAnsiTheme="minorBidi"/>
          <w:sz w:val="24"/>
          <w:szCs w:val="24"/>
        </w:rPr>
      </w:pPr>
      <w:bookmarkStart w:id="54" w:name="_Toc225723025"/>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21</w:t>
      </w:r>
      <w:r>
        <w:rPr>
          <w:rFonts w:asciiTheme="minorBidi" w:hAnsiTheme="minorBidi"/>
          <w:b/>
          <w:bCs/>
          <w:sz w:val="24"/>
          <w:szCs w:val="24"/>
        </w:rPr>
        <w:fldChar w:fldCharType="end"/>
      </w:r>
      <w:r>
        <w:rPr>
          <w:rFonts w:asciiTheme="minorBidi" w:hAnsiTheme="minorBidi"/>
          <w:sz w:val="24"/>
          <w:szCs w:val="24"/>
        </w:rPr>
        <w:t xml:space="preserve"> : Figure du phénomène de Lactylation dans le diabète </w:t>
      </w:r>
      <w:r>
        <w:rPr>
          <w:rFonts w:asciiTheme="minorBidi" w:hAnsiTheme="minorBidi"/>
          <w:b/>
          <w:bCs/>
          <w:sz w:val="24"/>
          <w:szCs w:val="24"/>
        </w:rPr>
        <w:t>(</w:t>
      </w:r>
      <w:proofErr w:type="spellStart"/>
      <w:r>
        <w:rPr>
          <w:rFonts w:asciiTheme="minorBidi" w:hAnsiTheme="minorBidi"/>
          <w:b/>
          <w:bCs/>
          <w:sz w:val="24"/>
          <w:szCs w:val="24"/>
        </w:rPr>
        <w:t>Guannan</w:t>
      </w:r>
      <w:proofErr w:type="spellEnd"/>
      <w:r>
        <w:rPr>
          <w:rFonts w:asciiTheme="minorBidi" w:hAnsiTheme="minorBidi"/>
          <w:b/>
          <w:bCs/>
          <w:sz w:val="24"/>
          <w:szCs w:val="24"/>
        </w:rPr>
        <w:t xml:space="preserve"> Chen, 2025)</w:t>
      </w:r>
      <w:bookmarkEnd w:id="54"/>
    </w:p>
    <w:p w14:paraId="4275CFE8" w14:textId="77777777" w:rsidR="00502BB2" w:rsidRDefault="00502BB2">
      <w:pPr>
        <w:spacing w:line="360" w:lineRule="auto"/>
        <w:rPr>
          <w:rFonts w:asciiTheme="minorBidi" w:hAnsiTheme="minorBidi"/>
          <w:b/>
          <w:bCs/>
          <w:sz w:val="24"/>
          <w:szCs w:val="24"/>
        </w:rPr>
      </w:pPr>
    </w:p>
    <w:p w14:paraId="3CB5C5F5" w14:textId="77777777" w:rsidR="00502BB2" w:rsidRDefault="00502BB2">
      <w:pPr>
        <w:spacing w:line="360" w:lineRule="auto"/>
        <w:rPr>
          <w:rFonts w:asciiTheme="minorBidi" w:hAnsiTheme="minorBidi"/>
          <w:b/>
          <w:bCs/>
          <w:sz w:val="24"/>
          <w:szCs w:val="24"/>
        </w:rPr>
      </w:pPr>
    </w:p>
    <w:p w14:paraId="24781735" w14:textId="77777777" w:rsidR="00502BB2" w:rsidRDefault="00502BB2">
      <w:pPr>
        <w:spacing w:line="360" w:lineRule="auto"/>
        <w:rPr>
          <w:rFonts w:asciiTheme="minorBidi" w:hAnsiTheme="minorBidi"/>
          <w:b/>
          <w:bCs/>
          <w:sz w:val="24"/>
          <w:szCs w:val="24"/>
        </w:rPr>
      </w:pPr>
    </w:p>
    <w:p w14:paraId="2E1EFF82" w14:textId="77777777" w:rsidR="00502BB2" w:rsidRDefault="0069123E">
      <w:pPr>
        <w:pStyle w:val="Heading2"/>
        <w:ind w:firstLine="360"/>
        <w:rPr>
          <w:rFonts w:asciiTheme="minorBidi" w:hAnsiTheme="minorBidi" w:cstheme="minorBidi"/>
          <w:b/>
          <w:bCs/>
          <w:color w:val="0D0D0D" w:themeColor="text1" w:themeTint="F2"/>
          <w:sz w:val="28"/>
          <w:szCs w:val="28"/>
        </w:rPr>
      </w:pPr>
      <w:bookmarkStart w:id="55" w:name="_Toc226577334"/>
      <w:r>
        <w:rPr>
          <w:rFonts w:asciiTheme="minorBidi" w:hAnsiTheme="minorBidi" w:cstheme="minorBidi"/>
          <w:b/>
          <w:bCs/>
          <w:color w:val="0D0D0D" w:themeColor="text1" w:themeTint="F2"/>
          <w:sz w:val="28"/>
          <w:szCs w:val="28"/>
        </w:rPr>
        <w:t>IV.  Les corps cétoniques</w:t>
      </w:r>
      <w:bookmarkEnd w:id="55"/>
    </w:p>
    <w:p w14:paraId="763CDAFE" w14:textId="77777777" w:rsidR="00502BB2" w:rsidRDefault="0069123E">
      <w:pPr>
        <w:pStyle w:val="Heading3"/>
        <w:numPr>
          <w:ilvl w:val="0"/>
          <w:numId w:val="8"/>
        </w:numPr>
        <w:rPr>
          <w:rFonts w:asciiTheme="minorBidi" w:hAnsiTheme="minorBidi" w:cstheme="minorBidi"/>
          <w:b/>
          <w:bCs/>
          <w:sz w:val="24"/>
          <w:szCs w:val="24"/>
        </w:rPr>
      </w:pPr>
      <w:bookmarkStart w:id="56" w:name="_Toc226577335"/>
      <w:r>
        <w:rPr>
          <w:rFonts w:asciiTheme="minorBidi" w:hAnsiTheme="minorBidi" w:cstheme="minorBidi"/>
          <w:b/>
          <w:bCs/>
          <w:color w:val="0D0D0D" w:themeColor="text1" w:themeTint="F2"/>
          <w:sz w:val="24"/>
          <w:szCs w:val="24"/>
        </w:rPr>
        <w:t>La biosynthèse</w:t>
      </w:r>
      <w:bookmarkEnd w:id="56"/>
    </w:p>
    <w:p w14:paraId="17AA2807" w14:textId="77777777" w:rsidR="00502BB2" w:rsidRDefault="0069123E">
      <w:pPr>
        <w:pStyle w:val="NormalWeb"/>
        <w:spacing w:line="360" w:lineRule="auto"/>
        <w:ind w:firstLine="360"/>
        <w:jc w:val="both"/>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t>Les corps cétoniques (l’acétoacétate (AcAc), le β-hydroxybutyrate (BHB) et l’acétone) (</w:t>
      </w:r>
      <w:r>
        <w:rPr>
          <w:rFonts w:asciiTheme="minorBidi" w:eastAsiaTheme="minorHAnsi" w:hAnsiTheme="minorBidi" w:cstheme="minorBidi"/>
          <w:b/>
          <w:bCs/>
          <w:kern w:val="2"/>
          <w:lang w:eastAsia="en-US"/>
          <w14:ligatures w14:val="standardContextual"/>
        </w:rPr>
        <w:t>figure 22</w:t>
      </w:r>
      <w:r>
        <w:rPr>
          <w:rFonts w:asciiTheme="minorBidi" w:eastAsiaTheme="minorHAnsi" w:hAnsiTheme="minorBidi" w:cstheme="minorBidi"/>
          <w:kern w:val="2"/>
          <w:lang w:eastAsia="en-US"/>
          <w14:ligatures w14:val="standardContextual"/>
        </w:rPr>
        <w:t>) sont synthétisés par le processus de cétogenèse dans la matrice mitochondriale des hépatocytes et astrocyte à partir de l’acétyl-CoA issu de la β-oxydation des acides gras libres.</w:t>
      </w:r>
      <w:r>
        <w:rPr>
          <w:rFonts w:asciiTheme="minorBidi" w:eastAsiaTheme="minorHAnsi" w:hAnsiTheme="minorBidi" w:cstheme="minorBidi"/>
          <w:b/>
          <w:bCs/>
          <w:kern w:val="2"/>
          <w:lang w:eastAsia="en-US"/>
          <w14:ligatures w14:val="standardContextual"/>
        </w:rPr>
        <w:t xml:space="preserve"> </w:t>
      </w:r>
      <w:sdt>
        <w:sdtPr>
          <w:rPr>
            <w:rFonts w:asciiTheme="minorBidi" w:eastAsiaTheme="minorHAnsi" w:hAnsiTheme="minorBidi" w:cstheme="minorBidi"/>
            <w:b/>
            <w:bCs/>
            <w:kern w:val="2"/>
            <w:lang w:eastAsia="en-US"/>
            <w14:ligatures w14:val="standardContextual"/>
          </w:rPr>
          <w:id w:val="729816881"/>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Puc21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(Puchalska P, 2021)</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w:t>
      </w:r>
      <w:sdt>
        <w:sdtPr>
          <w:rPr>
            <w:rFonts w:asciiTheme="minorBidi" w:eastAsiaTheme="minorHAnsi" w:hAnsiTheme="minorBidi" w:cstheme="minorBidi"/>
            <w:b/>
            <w:bCs/>
            <w:kern w:val="2"/>
            <w:lang w:eastAsia="en-US"/>
            <w14:ligatures w14:val="standardContextual"/>
          </w:rPr>
          <w:id w:val="699216861"/>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New24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(Newman JC, 2024)</w:t>
          </w:r>
          <w:r>
            <w:rPr>
              <w:rFonts w:asciiTheme="minorBidi" w:eastAsiaTheme="minorHAnsi" w:hAnsiTheme="minorBidi" w:cstheme="minorBidi"/>
              <w:b/>
              <w:bCs/>
              <w:kern w:val="2"/>
              <w:lang w:eastAsia="en-US"/>
              <w14:ligatures w14:val="standardContextual"/>
            </w:rPr>
            <w:fldChar w:fldCharType="end"/>
          </w:r>
        </w:sdtContent>
      </w:sdt>
    </w:p>
    <w:p w14:paraId="75CE61CB" w14:textId="77777777" w:rsidR="00502BB2" w:rsidRDefault="0069123E">
      <w:pPr>
        <w:pStyle w:val="NormalWeb"/>
        <w:keepNext/>
        <w:spacing w:line="360" w:lineRule="auto"/>
        <w:ind w:left="360"/>
        <w:jc w:val="center"/>
      </w:pPr>
      <w:r>
        <w:rPr>
          <w:rFonts w:asciiTheme="minorBidi" w:eastAsiaTheme="minorHAnsi" w:hAnsiTheme="minorBidi" w:cstheme="minorBidi"/>
          <w:noProof/>
          <w:kern w:val="2"/>
          <w:lang w:eastAsia="en-US"/>
          <w14:ligatures w14:val="standardContextual"/>
        </w:rPr>
        <w:drawing>
          <wp:inline distT="0" distB="0" distL="0" distR="0" wp14:anchorId="11604017" wp14:editId="34877BB6">
            <wp:extent cx="4070350" cy="2941955"/>
            <wp:effectExtent l="0" t="0" r="6350" b="0"/>
            <wp:docPr id="8843167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316796" name="Picture 1"/>
                    <pic:cNvPicPr>
                      <a:picLocks noChangeAspect="1"/>
                    </pic:cNvPicPr>
                  </pic:nvPicPr>
                  <pic:blipFill>
                    <a:blip r:embed="rId45"/>
                    <a:stretch>
                      <a:fillRect/>
                    </a:stretch>
                  </pic:blipFill>
                  <pic:spPr>
                    <a:xfrm>
                      <a:off x="0" y="0"/>
                      <a:ext cx="4073224" cy="2943937"/>
                    </a:xfrm>
                    <a:prstGeom prst="rect">
                      <a:avLst/>
                    </a:prstGeom>
                  </pic:spPr>
                </pic:pic>
              </a:graphicData>
            </a:graphic>
          </wp:inline>
        </w:drawing>
      </w:r>
    </w:p>
    <w:p w14:paraId="098A8D01" w14:textId="791B8298" w:rsidR="00502BB2" w:rsidRDefault="0069123E">
      <w:pPr>
        <w:pStyle w:val="Caption"/>
        <w:jc w:val="center"/>
        <w:rPr>
          <w:rFonts w:asciiTheme="minorBidi" w:hAnsiTheme="minorBidi"/>
          <w:sz w:val="24"/>
          <w:szCs w:val="24"/>
        </w:rPr>
      </w:pPr>
      <w:bookmarkStart w:id="57" w:name="_Toc225723026"/>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22</w:t>
      </w:r>
      <w:r>
        <w:rPr>
          <w:rFonts w:asciiTheme="minorBidi" w:hAnsiTheme="minorBidi"/>
          <w:b/>
          <w:bCs/>
          <w:sz w:val="24"/>
          <w:szCs w:val="24"/>
        </w:rPr>
        <w:fldChar w:fldCharType="end"/>
      </w:r>
      <w:r>
        <w:rPr>
          <w:rFonts w:asciiTheme="minorBidi" w:hAnsiTheme="minorBidi"/>
          <w:sz w:val="24"/>
          <w:szCs w:val="24"/>
        </w:rPr>
        <w:t xml:space="preserve"> : Figure de la structure des corps cétoniques </w:t>
      </w:r>
      <w:r>
        <w:rPr>
          <w:rFonts w:asciiTheme="minorBidi" w:hAnsiTheme="minorBidi"/>
          <w:b/>
          <w:bCs/>
          <w:sz w:val="24"/>
          <w:szCs w:val="24"/>
        </w:rPr>
        <w:t>(Daines, 2021)</w:t>
      </w:r>
      <w:bookmarkEnd w:id="57"/>
    </w:p>
    <w:p w14:paraId="23501457" w14:textId="77777777" w:rsidR="00502BB2" w:rsidRDefault="0069123E">
      <w:pPr>
        <w:pStyle w:val="NormalWeb"/>
        <w:spacing w:line="360" w:lineRule="auto"/>
        <w:ind w:left="360" w:firstLine="348"/>
        <w:jc w:val="both"/>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t>La voie métabolique débute par la condensation de deux molécules d’acétyl-CoA en acétoacétyl-CoA, catalysée par la thiolase. Cette molécule est ensuite convertie en 3-hydroxy-3-méthylglutaryl-CoA (HMG-CoA) sous l’action de la HMG-CoA synthase mitochondriale, étape considérée comme limitante de la cétogenèse. L’HMG-CoA est ensuite clivé par la HMG-CoA lyase pour former l’acétoacétate, qui peut suivre deux voies métaboliques : il est soit réduit en β-hydroxybutyrate par la β-hydroxybutyrate déshydrogénase, ré</w:t>
      </w:r>
      <w:r>
        <w:rPr>
          <w:rFonts w:asciiTheme="minorBidi" w:eastAsiaTheme="minorHAnsi" w:hAnsiTheme="minorBidi" w:cstheme="minorBidi"/>
          <w:kern w:val="2"/>
          <w:lang w:eastAsia="en-US"/>
          <w14:ligatures w14:val="standardContextual"/>
        </w:rPr>
        <w:t>action dépendante du rapport NADH/NAD</w:t>
      </w:r>
      <w:r>
        <w:rPr>
          <w:rFonts w:ascii="Cambria Math" w:eastAsiaTheme="minorHAnsi" w:hAnsi="Cambria Math" w:cs="Cambria Math"/>
          <w:kern w:val="2"/>
          <w:lang w:eastAsia="en-US"/>
          <w14:ligatures w14:val="standardContextual"/>
        </w:rPr>
        <w:t>⁺</w:t>
      </w:r>
      <w:r>
        <w:rPr>
          <w:rFonts w:asciiTheme="minorBidi" w:eastAsiaTheme="minorHAnsi" w:hAnsiTheme="minorBidi" w:cstheme="minorBidi"/>
          <w:kern w:val="2"/>
          <w:lang w:eastAsia="en-US"/>
          <w14:ligatures w14:val="standardContextual"/>
        </w:rPr>
        <w:t xml:space="preserve"> mitochondrial, soit décarboxylé spontanément pour former l’acétone. La régulation de cette voie dépend principalement de l’intensité de la lipolyse adipocytaire, du flux mitochondrial des </w:t>
      </w:r>
      <w:r>
        <w:rPr>
          <w:rFonts w:asciiTheme="minorBidi" w:eastAsiaTheme="minorHAnsi" w:hAnsiTheme="minorBidi" w:cstheme="minorBidi"/>
          <w:kern w:val="2"/>
          <w:lang w:eastAsia="en-US"/>
          <w14:ligatures w14:val="standardContextual"/>
        </w:rPr>
        <w:lastRenderedPageBreak/>
        <w:t>acides gras et du contrôle hormonal exercé par l’insuline et le glucagon. Cette voie est fortement activée lors du jeûne prolongé, de la restriction glucidique ou dans certaines conditions métaboliques pathologiques (</w:t>
      </w:r>
      <w:r>
        <w:rPr>
          <w:rFonts w:asciiTheme="minorBidi" w:eastAsiaTheme="minorHAnsi" w:hAnsiTheme="minorBidi" w:cstheme="minorBidi"/>
          <w:b/>
          <w:bCs/>
          <w:kern w:val="2"/>
          <w:lang w:eastAsia="en-US"/>
          <w14:ligatures w14:val="standardContextual"/>
        </w:rPr>
        <w:t>figure 23</w:t>
      </w:r>
      <w:r>
        <w:rPr>
          <w:rFonts w:asciiTheme="minorBidi" w:eastAsiaTheme="minorHAnsi" w:hAnsiTheme="minorBidi" w:cstheme="minorBidi"/>
          <w:kern w:val="2"/>
          <w:lang w:eastAsia="en-US"/>
          <w14:ligatures w14:val="standardContextual"/>
        </w:rPr>
        <w:t xml:space="preserve">). </w:t>
      </w:r>
      <w:sdt>
        <w:sdtPr>
          <w:rPr>
            <w:rFonts w:asciiTheme="minorBidi" w:eastAsiaTheme="minorHAnsi" w:hAnsiTheme="minorBidi" w:cstheme="minorBidi"/>
            <w:kern w:val="2"/>
            <w:lang w:eastAsia="en-US"/>
            <w14:ligatures w14:val="standardContextual"/>
          </w:rPr>
          <w:id w:val="-249044668"/>
        </w:sdtPr>
        <w:sdtEndPr>
          <w:rPr>
            <w:b/>
            <w:bCs/>
          </w:r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Puc21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(Puchalska P, 2021)</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w:t>
      </w:r>
      <w:sdt>
        <w:sdtPr>
          <w:rPr>
            <w:rFonts w:asciiTheme="minorBidi" w:eastAsiaTheme="minorHAnsi" w:hAnsiTheme="minorBidi" w:cstheme="minorBidi"/>
            <w:b/>
            <w:bCs/>
            <w:kern w:val="2"/>
            <w:lang w:eastAsia="en-US"/>
            <w14:ligatures w14:val="standardContextual"/>
          </w:rPr>
          <w:id w:val="436261392"/>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New24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(Newman JC, 2024)</w:t>
          </w:r>
          <w:r>
            <w:rPr>
              <w:rFonts w:asciiTheme="minorBidi" w:eastAsiaTheme="minorHAnsi" w:hAnsiTheme="minorBidi" w:cstheme="minorBidi"/>
              <w:b/>
              <w:bCs/>
              <w:kern w:val="2"/>
              <w:lang w:eastAsia="en-US"/>
              <w14:ligatures w14:val="standardContextual"/>
            </w:rPr>
            <w:fldChar w:fldCharType="end"/>
          </w:r>
        </w:sdtContent>
      </w:sdt>
    </w:p>
    <w:p w14:paraId="52291131" w14:textId="77777777" w:rsidR="00502BB2" w:rsidRDefault="0069123E">
      <w:pPr>
        <w:pStyle w:val="NormalWeb"/>
        <w:keepNext/>
        <w:spacing w:line="360" w:lineRule="auto"/>
        <w:ind w:left="360"/>
        <w:jc w:val="center"/>
      </w:pPr>
      <w:r>
        <w:rPr>
          <w:rFonts w:asciiTheme="minorBidi" w:eastAsiaTheme="minorHAnsi" w:hAnsiTheme="minorBidi" w:cstheme="minorBidi"/>
          <w:noProof/>
          <w:kern w:val="2"/>
          <w:lang w:eastAsia="en-US"/>
          <w14:ligatures w14:val="standardContextual"/>
        </w:rPr>
        <w:drawing>
          <wp:inline distT="0" distB="0" distL="0" distR="0" wp14:anchorId="4CA1C84A" wp14:editId="758D8A2F">
            <wp:extent cx="5671820" cy="3228975"/>
            <wp:effectExtent l="0" t="0" r="5080" b="0"/>
            <wp:docPr id="1293363530" name="Picture 13" descr="Corps cétoniques : définitions, synthèse et rôles dans le métabolisme  énergétique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363530" name="Picture 13" descr="Corps cétoniques : définitions, synthèse et rôles dans le métabolisme  énergétique - ScienceDi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676313" cy="3231184"/>
                    </a:xfrm>
                    <a:prstGeom prst="rect">
                      <a:avLst/>
                    </a:prstGeom>
                    <a:noFill/>
                    <a:ln>
                      <a:noFill/>
                    </a:ln>
                  </pic:spPr>
                </pic:pic>
              </a:graphicData>
            </a:graphic>
          </wp:inline>
        </w:drawing>
      </w:r>
    </w:p>
    <w:p w14:paraId="0C855880" w14:textId="602FE54F" w:rsidR="00502BB2" w:rsidRDefault="0069123E">
      <w:pPr>
        <w:pStyle w:val="Caption"/>
        <w:jc w:val="center"/>
        <w:rPr>
          <w:rFonts w:asciiTheme="minorBidi" w:hAnsiTheme="minorBidi"/>
          <w:sz w:val="24"/>
          <w:szCs w:val="24"/>
        </w:rPr>
      </w:pPr>
      <w:bookmarkStart w:id="58" w:name="_Toc225723027"/>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23</w:t>
      </w:r>
      <w:r>
        <w:rPr>
          <w:rFonts w:asciiTheme="minorBidi" w:hAnsiTheme="minorBidi"/>
          <w:b/>
          <w:bCs/>
          <w:sz w:val="24"/>
          <w:szCs w:val="24"/>
        </w:rPr>
        <w:fldChar w:fldCharType="end"/>
      </w:r>
      <w:r>
        <w:rPr>
          <w:rFonts w:asciiTheme="minorBidi" w:hAnsiTheme="minorBidi"/>
          <w:sz w:val="24"/>
          <w:szCs w:val="24"/>
        </w:rPr>
        <w:t xml:space="preserve"> : Figure de la biosynthèse des corps cétoniques </w:t>
      </w:r>
      <w:r>
        <w:rPr>
          <w:rFonts w:asciiTheme="minorBidi" w:hAnsiTheme="minorBidi"/>
          <w:b/>
          <w:bCs/>
          <w:sz w:val="24"/>
          <w:szCs w:val="24"/>
        </w:rPr>
        <w:t>(Romane Bertrand, 2022)</w:t>
      </w:r>
      <w:bookmarkEnd w:id="58"/>
    </w:p>
    <w:p w14:paraId="72A0D5DA" w14:textId="77777777" w:rsidR="00502BB2" w:rsidRDefault="0069123E">
      <w:pPr>
        <w:pStyle w:val="Heading3"/>
        <w:numPr>
          <w:ilvl w:val="0"/>
          <w:numId w:val="8"/>
        </w:numPr>
        <w:rPr>
          <w:rFonts w:asciiTheme="minorBidi" w:hAnsiTheme="minorBidi" w:cstheme="minorBidi"/>
          <w:b/>
          <w:bCs/>
          <w:color w:val="0D0D0D" w:themeColor="text1" w:themeTint="F2"/>
          <w:sz w:val="24"/>
          <w:szCs w:val="24"/>
        </w:rPr>
      </w:pPr>
      <w:bookmarkStart w:id="59" w:name="_Toc226577336"/>
      <w:r>
        <w:rPr>
          <w:rFonts w:asciiTheme="minorBidi" w:hAnsiTheme="minorBidi" w:cstheme="minorBidi"/>
          <w:b/>
          <w:bCs/>
          <w:color w:val="0D0D0D" w:themeColor="text1" w:themeTint="F2"/>
          <w:sz w:val="24"/>
          <w:szCs w:val="24"/>
        </w:rPr>
        <w:t>Etat physiologique</w:t>
      </w:r>
      <w:bookmarkEnd w:id="59"/>
      <w:r>
        <w:rPr>
          <w:rFonts w:asciiTheme="minorBidi" w:hAnsiTheme="minorBidi" w:cstheme="minorBidi"/>
          <w:b/>
          <w:bCs/>
          <w:color w:val="0D0D0D" w:themeColor="text1" w:themeTint="F2"/>
          <w:sz w:val="24"/>
          <w:szCs w:val="24"/>
        </w:rPr>
        <w:t> </w:t>
      </w:r>
    </w:p>
    <w:p w14:paraId="1F39049B" w14:textId="77777777" w:rsidR="00502BB2" w:rsidRDefault="0069123E">
      <w:pPr>
        <w:pStyle w:val="NormalWeb"/>
        <w:spacing w:line="360" w:lineRule="auto"/>
        <w:ind w:firstLine="360"/>
        <w:jc w:val="both"/>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t>Au-delà de leur rôle de substrats énergétiques alternatifs pour le cerveau, le cœur et le muscle squelettique en conditions de déficit glucidique, les corps cétoniques possèdent également des fonctions de signalisation métabolique (</w:t>
      </w:r>
      <w:r>
        <w:rPr>
          <w:rFonts w:asciiTheme="minorBidi" w:eastAsiaTheme="minorHAnsi" w:hAnsiTheme="minorBidi" w:cstheme="minorBidi"/>
          <w:b/>
          <w:bCs/>
          <w:kern w:val="2"/>
          <w:lang w:eastAsia="en-US"/>
          <w14:ligatures w14:val="standardContextual"/>
        </w:rPr>
        <w:t>figure 24</w:t>
      </w:r>
      <w:r>
        <w:rPr>
          <w:rFonts w:asciiTheme="minorBidi" w:eastAsiaTheme="minorHAnsi" w:hAnsiTheme="minorBidi" w:cstheme="minorBidi"/>
          <w:kern w:val="2"/>
          <w:lang w:eastAsia="en-US"/>
          <w14:ligatures w14:val="standardContextual"/>
        </w:rPr>
        <w:t>). Ou Le β-hydroxybutyrate agit comme molécule signal en activant plusieurs voies de régulation cellulaire, notamment AMPK et l’axe SIRT1/PGC-1α, favorisant ainsi la biogenèse mitochondriale et l’adaptation métabolique. Il contribue également à la protection cellulaire contre le stress oxydatif et limitant le processus apoptotique. Par ailleurs, le BHB interagit avec le récepteur HCAR2 (récepteur couplé aux protéines G) et inhibe l’activité des histone-désacétylases (HDAC), induisant des modificati</w:t>
      </w:r>
      <w:r>
        <w:rPr>
          <w:rFonts w:asciiTheme="minorBidi" w:eastAsiaTheme="minorHAnsi" w:hAnsiTheme="minorBidi" w:cstheme="minorBidi"/>
          <w:kern w:val="2"/>
          <w:lang w:eastAsia="en-US"/>
          <w14:ligatures w14:val="standardContextual"/>
        </w:rPr>
        <w:t>ons épigénétiques impliquées dans la régulation de l’expression génique, notamment dans les réponses anti-</w:t>
      </w:r>
      <w:r>
        <w:rPr>
          <w:rFonts w:asciiTheme="minorBidi" w:eastAsiaTheme="minorHAnsi" w:hAnsiTheme="minorBidi" w:cstheme="minorBidi"/>
          <w:kern w:val="2"/>
          <w:lang w:eastAsia="en-US"/>
          <w14:ligatures w14:val="standardContextual"/>
        </w:rPr>
        <w:lastRenderedPageBreak/>
        <w:t>inflammatoires (</w:t>
      </w:r>
      <w:r>
        <w:rPr>
          <w:rFonts w:asciiTheme="minorBidi" w:eastAsiaTheme="minorHAnsi" w:hAnsiTheme="minorBidi" w:cstheme="minorBidi"/>
          <w:b/>
          <w:bCs/>
          <w:kern w:val="2"/>
          <w:lang w:eastAsia="en-US"/>
          <w14:ligatures w14:val="standardContextual"/>
        </w:rPr>
        <w:t>figure 25</w:t>
      </w:r>
      <w:r>
        <w:rPr>
          <w:rFonts w:asciiTheme="minorBidi" w:eastAsiaTheme="minorHAnsi" w:hAnsiTheme="minorBidi" w:cstheme="minorBidi"/>
          <w:kern w:val="2"/>
          <w:lang w:eastAsia="en-US"/>
          <w14:ligatures w14:val="standardContextual"/>
        </w:rPr>
        <w:t>).</w:t>
      </w:r>
      <w:sdt>
        <w:sdtPr>
          <w:rPr>
            <w:rFonts w:asciiTheme="minorBidi" w:eastAsiaTheme="minorHAnsi" w:hAnsiTheme="minorBidi" w:cstheme="minorBidi"/>
            <w:b/>
            <w:bCs/>
            <w:kern w:val="2"/>
            <w:lang w:eastAsia="en-US"/>
            <w14:ligatures w14:val="standardContextual"/>
          </w:rPr>
          <w:id w:val="-599254995"/>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Dai21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(Daines, 2021)</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xml:space="preserve"> ; </w:t>
      </w:r>
      <w:sdt>
        <w:sdtPr>
          <w:rPr>
            <w:rFonts w:asciiTheme="minorBidi" w:eastAsiaTheme="minorHAnsi" w:hAnsiTheme="minorBidi" w:cstheme="minorBidi"/>
            <w:b/>
            <w:bCs/>
            <w:kern w:val="2"/>
            <w:lang w:eastAsia="en-US"/>
            <w14:ligatures w14:val="standardContextual"/>
          </w:rPr>
          <w:id w:val="-514307846"/>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Wen21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(Wentz MR, 2021)</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xml:space="preserve"> ; </w:t>
      </w:r>
      <w:sdt>
        <w:sdtPr>
          <w:rPr>
            <w:rFonts w:asciiTheme="minorBidi" w:eastAsiaTheme="minorHAnsi" w:hAnsiTheme="minorBidi" w:cstheme="minorBidi"/>
            <w:b/>
            <w:bCs/>
            <w:kern w:val="2"/>
            <w:lang w:eastAsia="en-US"/>
            <w14:ligatures w14:val="standardContextual"/>
          </w:rPr>
          <w:id w:val="-646970713"/>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Cot24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(Cotter-DuPont K, 2024)</w:t>
          </w:r>
          <w:r>
            <w:rPr>
              <w:rFonts w:asciiTheme="minorBidi" w:eastAsiaTheme="minorHAnsi" w:hAnsiTheme="minorBidi" w:cstheme="minorBidi"/>
              <w:b/>
              <w:bCs/>
              <w:kern w:val="2"/>
              <w:lang w:eastAsia="en-US"/>
              <w14:ligatures w14:val="standardContextual"/>
            </w:rPr>
            <w:fldChar w:fldCharType="end"/>
          </w:r>
        </w:sdtContent>
      </w:sdt>
    </w:p>
    <w:p w14:paraId="69728440" w14:textId="77777777" w:rsidR="00502BB2" w:rsidRDefault="0069123E">
      <w:pPr>
        <w:pStyle w:val="NormalWeb"/>
        <w:keepNext/>
        <w:spacing w:line="360" w:lineRule="auto"/>
        <w:jc w:val="center"/>
      </w:pPr>
      <w:r>
        <w:rPr>
          <w:rFonts w:asciiTheme="minorBidi" w:eastAsiaTheme="minorHAnsi" w:hAnsiTheme="minorBidi" w:cstheme="minorBidi"/>
          <w:noProof/>
          <w:kern w:val="2"/>
          <w:lang w:eastAsia="en-US"/>
          <w14:ligatures w14:val="standardContextual"/>
        </w:rPr>
        <w:drawing>
          <wp:inline distT="0" distB="0" distL="0" distR="0" wp14:anchorId="51FB1BF8" wp14:editId="296CCC57">
            <wp:extent cx="3390900" cy="4881880"/>
            <wp:effectExtent l="0" t="0" r="0" b="0"/>
            <wp:docPr id="1037536943" name="Picture 14" descr="Corps cétoniques : définitions, synthèse et rôles dans le métabolisme  énergétique - ScienceDi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536943" name="Picture 14" descr="Corps cétoniques : définitions, synthèse et rôles dans le métabolisme  énergétique - ScienceDirect"/>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3394841" cy="4888018"/>
                    </a:xfrm>
                    <a:prstGeom prst="rect">
                      <a:avLst/>
                    </a:prstGeom>
                    <a:noFill/>
                    <a:ln>
                      <a:noFill/>
                    </a:ln>
                  </pic:spPr>
                </pic:pic>
              </a:graphicData>
            </a:graphic>
          </wp:inline>
        </w:drawing>
      </w:r>
    </w:p>
    <w:p w14:paraId="69487233" w14:textId="473CDA0A" w:rsidR="00502BB2" w:rsidRDefault="0069123E">
      <w:pPr>
        <w:pStyle w:val="Caption"/>
        <w:jc w:val="center"/>
        <w:rPr>
          <w:rFonts w:asciiTheme="minorBidi" w:hAnsiTheme="minorBidi"/>
          <w:sz w:val="24"/>
          <w:szCs w:val="24"/>
        </w:rPr>
      </w:pPr>
      <w:bookmarkStart w:id="60" w:name="_Toc225723028"/>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24</w:t>
      </w:r>
      <w:r>
        <w:rPr>
          <w:rFonts w:asciiTheme="minorBidi" w:hAnsiTheme="minorBidi"/>
          <w:b/>
          <w:bCs/>
          <w:sz w:val="24"/>
          <w:szCs w:val="24"/>
        </w:rPr>
        <w:fldChar w:fldCharType="end"/>
      </w:r>
      <w:r>
        <w:rPr>
          <w:rFonts w:asciiTheme="minorBidi" w:hAnsiTheme="minorBidi"/>
          <w:sz w:val="24"/>
          <w:szCs w:val="24"/>
        </w:rPr>
        <w:t xml:space="preserve"> : Figure du métabolisme du BHB </w:t>
      </w:r>
      <w:r>
        <w:rPr>
          <w:rFonts w:asciiTheme="minorBidi" w:hAnsiTheme="minorBidi"/>
          <w:b/>
          <w:bCs/>
          <w:sz w:val="24"/>
          <w:szCs w:val="24"/>
        </w:rPr>
        <w:t>(Romane Bertrand, 2022)</w:t>
      </w:r>
      <w:bookmarkEnd w:id="60"/>
    </w:p>
    <w:p w14:paraId="1B51FE66" w14:textId="77777777" w:rsidR="00502BB2" w:rsidRDefault="0069123E">
      <w:pPr>
        <w:pStyle w:val="NormalWeb"/>
        <w:spacing w:line="360" w:lineRule="auto"/>
        <w:ind w:firstLine="708"/>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t>Ces mécanismes confèrent aux corps cétoniques des propriétés neuroprotectrices et anti-inflammatoires, notamment via l’inhibition de certaines voies inflammatoires telles que mTOR et l’inflammasome NLRP3. À des concentrations physiologiques modérées, comme lors du jeûne ou d’un régime cétogène, ces métabolites contribuent à l’optimisation de l’homéostasie énergétique et à la protection cellulaire dans divers tissus (</w:t>
      </w:r>
      <w:r>
        <w:rPr>
          <w:rFonts w:asciiTheme="minorBidi" w:eastAsiaTheme="minorHAnsi" w:hAnsiTheme="minorBidi" w:cstheme="minorBidi"/>
          <w:b/>
          <w:bCs/>
          <w:kern w:val="2"/>
          <w:lang w:eastAsia="en-US"/>
          <w14:ligatures w14:val="standardContextual"/>
        </w:rPr>
        <w:t>figure 25</w:t>
      </w:r>
      <w:r>
        <w:rPr>
          <w:rFonts w:asciiTheme="minorBidi" w:eastAsiaTheme="minorHAnsi" w:hAnsiTheme="minorBidi" w:cstheme="minorBidi"/>
          <w:kern w:val="2"/>
          <w:lang w:eastAsia="en-US"/>
          <w14:ligatures w14:val="standardContextual"/>
        </w:rPr>
        <w:t>).</w:t>
      </w:r>
      <w:sdt>
        <w:sdtPr>
          <w:rPr>
            <w:rFonts w:asciiTheme="minorBidi" w:eastAsiaTheme="minorHAnsi" w:hAnsiTheme="minorBidi" w:cstheme="minorBidi"/>
            <w:kern w:val="2"/>
            <w:lang w:eastAsia="en-US"/>
            <w14:ligatures w14:val="standardContextual"/>
          </w:rPr>
          <w:id w:val="1486592445"/>
        </w:sdtPr>
        <w:sdtEndPr>
          <w:rPr>
            <w:b/>
            <w:bCs/>
          </w:r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Dai21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(Daines, 2021)</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xml:space="preserve"> ; </w:t>
      </w:r>
      <w:sdt>
        <w:sdtPr>
          <w:rPr>
            <w:rFonts w:asciiTheme="minorBidi" w:eastAsiaTheme="minorHAnsi" w:hAnsiTheme="minorBidi" w:cstheme="minorBidi"/>
            <w:b/>
            <w:bCs/>
            <w:kern w:val="2"/>
            <w:lang w:eastAsia="en-US"/>
            <w14:ligatures w14:val="standardContextual"/>
          </w:rPr>
          <w:id w:val="1579398700"/>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Wen21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(Wentz MR, 2021)</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xml:space="preserve"> ; </w:t>
      </w:r>
      <w:sdt>
        <w:sdtPr>
          <w:rPr>
            <w:rFonts w:asciiTheme="minorBidi" w:eastAsiaTheme="minorHAnsi" w:hAnsiTheme="minorBidi" w:cstheme="minorBidi"/>
            <w:b/>
            <w:bCs/>
            <w:kern w:val="2"/>
            <w:lang w:eastAsia="en-US"/>
            <w14:ligatures w14:val="standardContextual"/>
          </w:rPr>
          <w:id w:val="1234275649"/>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Cot24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(Cotter-DuPont K, 2024)</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kern w:val="2"/>
          <w:lang w:eastAsia="en-US"/>
          <w14:ligatures w14:val="standardContextual"/>
        </w:rPr>
        <w:t> </w:t>
      </w:r>
    </w:p>
    <w:p w14:paraId="339949CD" w14:textId="77777777" w:rsidR="00502BB2" w:rsidRDefault="0069123E">
      <w:pPr>
        <w:keepNext/>
        <w:spacing w:line="360" w:lineRule="auto"/>
        <w:jc w:val="center"/>
      </w:pPr>
      <w:r>
        <w:rPr>
          <w:rFonts w:asciiTheme="minorBidi" w:hAnsiTheme="minorBidi"/>
          <w:noProof/>
          <w:sz w:val="24"/>
          <w:szCs w:val="24"/>
        </w:rPr>
        <w:lastRenderedPageBreak/>
        <w:drawing>
          <wp:inline distT="0" distB="0" distL="0" distR="0" wp14:anchorId="4DE7F7E0" wp14:editId="571D3726">
            <wp:extent cx="4886325" cy="3559175"/>
            <wp:effectExtent l="0" t="0" r="0" b="3175"/>
            <wp:docPr id="744593832" name="Picture 15" descr="β-hydroxybutyrate and its metabolic effects on age-associated pathology |  Experimental &amp; Molecular Medic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593832" name="Picture 15" descr="β-hydroxybutyrate and its metabolic effects on age-associated pathology |  Experimental &amp; Molecular Medicine"/>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a:xfrm>
                      <a:off x="0" y="0"/>
                      <a:ext cx="4896362" cy="3567025"/>
                    </a:xfrm>
                    <a:prstGeom prst="rect">
                      <a:avLst/>
                    </a:prstGeom>
                    <a:noFill/>
                    <a:ln>
                      <a:noFill/>
                    </a:ln>
                  </pic:spPr>
                </pic:pic>
              </a:graphicData>
            </a:graphic>
          </wp:inline>
        </w:drawing>
      </w:r>
    </w:p>
    <w:p w14:paraId="1AB10089" w14:textId="3DD7B473" w:rsidR="00502BB2" w:rsidRDefault="0069123E">
      <w:pPr>
        <w:pStyle w:val="Caption"/>
        <w:jc w:val="center"/>
        <w:rPr>
          <w:rFonts w:asciiTheme="minorBidi" w:hAnsiTheme="minorBidi"/>
          <w:sz w:val="24"/>
          <w:szCs w:val="24"/>
        </w:rPr>
      </w:pPr>
      <w:bookmarkStart w:id="61" w:name="_Toc225723029"/>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25</w:t>
      </w:r>
      <w:r>
        <w:rPr>
          <w:rFonts w:asciiTheme="minorBidi" w:hAnsiTheme="minorBidi"/>
          <w:b/>
          <w:bCs/>
          <w:sz w:val="24"/>
          <w:szCs w:val="24"/>
        </w:rPr>
        <w:fldChar w:fldCharType="end"/>
      </w:r>
      <w:r>
        <w:rPr>
          <w:rFonts w:asciiTheme="minorBidi" w:hAnsiTheme="minorBidi"/>
          <w:sz w:val="24"/>
          <w:szCs w:val="24"/>
        </w:rPr>
        <w:t xml:space="preserve"> : Figure des voies de signalisation du BHB </w:t>
      </w:r>
      <w:r>
        <w:rPr>
          <w:rFonts w:asciiTheme="minorBidi" w:hAnsiTheme="minorBidi"/>
          <w:b/>
          <w:bCs/>
          <w:sz w:val="24"/>
          <w:szCs w:val="24"/>
        </w:rPr>
        <w:t>(Han, 2020)</w:t>
      </w:r>
      <w:bookmarkEnd w:id="61"/>
    </w:p>
    <w:p w14:paraId="136E510D" w14:textId="77777777" w:rsidR="00502BB2" w:rsidRDefault="0069123E">
      <w:pPr>
        <w:pStyle w:val="Heading3"/>
        <w:numPr>
          <w:ilvl w:val="0"/>
          <w:numId w:val="8"/>
        </w:numPr>
        <w:rPr>
          <w:rFonts w:asciiTheme="minorBidi" w:hAnsiTheme="minorBidi" w:cstheme="minorBidi"/>
          <w:b/>
          <w:bCs/>
          <w:color w:val="0D0D0D" w:themeColor="text1" w:themeTint="F2"/>
          <w:sz w:val="24"/>
          <w:szCs w:val="24"/>
        </w:rPr>
      </w:pPr>
      <w:bookmarkStart w:id="62" w:name="_Toc226577337"/>
      <w:r>
        <w:rPr>
          <w:rFonts w:asciiTheme="minorBidi" w:hAnsiTheme="minorBidi" w:cstheme="minorBidi"/>
          <w:b/>
          <w:bCs/>
          <w:color w:val="0D0D0D" w:themeColor="text1" w:themeTint="F2"/>
          <w:sz w:val="24"/>
          <w:szCs w:val="24"/>
        </w:rPr>
        <w:t>Etat pathologique</w:t>
      </w:r>
      <w:bookmarkEnd w:id="62"/>
    </w:p>
    <w:p w14:paraId="0A282BEE"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Lorsque leur production devient excessive et prolongée, comme dans l’acidocétose diabétique, les corps cétoniques peuvent exercer des effets pathologiques systémiques. Leur accumulation dans le sang, principalement sous forme de β-hydroxybutyrate, ou dans les urines sous forme d’acétoacétate, conduit à une augmentation importante de ces métabolites. Cette élévation entraîne une acidose métabolique à trou anionique élevé, associée à une déshydratation sévère, à des déséquilibres électrolytiques et à des alté</w:t>
      </w:r>
      <w:r>
        <w:rPr>
          <w:rFonts w:asciiTheme="minorBidi" w:hAnsiTheme="minorBidi"/>
          <w:sz w:val="24"/>
          <w:szCs w:val="24"/>
        </w:rPr>
        <w:t xml:space="preserve">rations hémodynamiques pouvant évoluer vers un coma. </w:t>
      </w:r>
      <w:sdt>
        <w:sdtPr>
          <w:rPr>
            <w:rFonts w:asciiTheme="minorBidi" w:hAnsiTheme="minorBidi"/>
            <w:b/>
            <w:bCs/>
            <w:sz w:val="24"/>
            <w:szCs w:val="24"/>
          </w:rPr>
          <w:id w:val="-70178422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Dai21 \l 1036 </w:instrText>
          </w:r>
          <w:r>
            <w:rPr>
              <w:rFonts w:asciiTheme="minorBidi" w:hAnsiTheme="minorBidi"/>
              <w:b/>
              <w:bCs/>
              <w:sz w:val="24"/>
              <w:szCs w:val="24"/>
            </w:rPr>
            <w:fldChar w:fldCharType="separate"/>
          </w:r>
          <w:r>
            <w:rPr>
              <w:rFonts w:asciiTheme="minorBidi" w:hAnsiTheme="minorBidi"/>
              <w:b/>
              <w:bCs/>
              <w:sz w:val="24"/>
              <w:szCs w:val="24"/>
            </w:rPr>
            <w:t>(Daines, 2021)</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79760904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Tre22 \l 1036 </w:instrText>
          </w:r>
          <w:r>
            <w:rPr>
              <w:rFonts w:asciiTheme="minorBidi" w:hAnsiTheme="minorBidi"/>
              <w:b/>
              <w:bCs/>
              <w:sz w:val="24"/>
              <w:szCs w:val="24"/>
            </w:rPr>
            <w:fldChar w:fldCharType="separate"/>
          </w:r>
          <w:r>
            <w:rPr>
              <w:rFonts w:asciiTheme="minorBidi" w:hAnsiTheme="minorBidi"/>
              <w:b/>
              <w:bCs/>
              <w:sz w:val="24"/>
              <w:szCs w:val="24"/>
            </w:rPr>
            <w:t xml:space="preserve"> (Tremblay ES, 2022)</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93085665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Jos23 \l 1036 </w:instrText>
          </w:r>
          <w:r>
            <w:rPr>
              <w:rFonts w:asciiTheme="minorBidi" w:hAnsiTheme="minorBidi"/>
              <w:b/>
              <w:bCs/>
              <w:sz w:val="24"/>
              <w:szCs w:val="24"/>
            </w:rPr>
            <w:fldChar w:fldCharType="separate"/>
          </w:r>
          <w:r>
            <w:rPr>
              <w:rFonts w:asciiTheme="minorBidi" w:hAnsiTheme="minorBidi"/>
              <w:b/>
              <w:bCs/>
              <w:sz w:val="24"/>
              <w:szCs w:val="24"/>
            </w:rPr>
            <w:t>(Joshi A,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72333991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Tsu24 \l 1036 </w:instrText>
          </w:r>
          <w:r>
            <w:rPr>
              <w:rFonts w:asciiTheme="minorBidi" w:hAnsiTheme="minorBidi"/>
              <w:b/>
              <w:bCs/>
              <w:sz w:val="24"/>
              <w:szCs w:val="24"/>
            </w:rPr>
            <w:fldChar w:fldCharType="separate"/>
          </w:r>
          <w:r>
            <w:rPr>
              <w:rFonts w:asciiTheme="minorBidi" w:hAnsiTheme="minorBidi"/>
              <w:b/>
              <w:bCs/>
              <w:sz w:val="24"/>
              <w:szCs w:val="24"/>
            </w:rPr>
            <w:t>(Tsuruta Y, 2024)</w:t>
          </w:r>
          <w:r>
            <w:rPr>
              <w:rFonts w:asciiTheme="minorBidi" w:hAnsiTheme="minorBidi"/>
              <w:b/>
              <w:bCs/>
              <w:sz w:val="24"/>
              <w:szCs w:val="24"/>
            </w:rPr>
            <w:fldChar w:fldCharType="end"/>
          </w:r>
        </w:sdtContent>
      </w:sdt>
    </w:p>
    <w:p w14:paraId="4229F286" w14:textId="77777777" w:rsidR="00502BB2" w:rsidRDefault="0069123E">
      <w:pPr>
        <w:spacing w:line="360" w:lineRule="auto"/>
        <w:ind w:firstLine="360"/>
        <w:rPr>
          <w:rFonts w:asciiTheme="minorBidi" w:hAnsiTheme="minorBidi"/>
          <w:sz w:val="24"/>
          <w:szCs w:val="24"/>
        </w:rPr>
      </w:pPr>
      <w:r>
        <w:rPr>
          <w:rFonts w:asciiTheme="minorBidi" w:hAnsiTheme="minorBidi"/>
          <w:sz w:val="24"/>
          <w:szCs w:val="24"/>
        </w:rPr>
        <w:t xml:space="preserve">Une exposition prolongée à des concentrations élevées de corps cétoniques peut également induire un état de stress oxydatif et d’inflammation, ainsi que des atteintes endothéliales et des altérations des cardiomyocytes. Par ailleurs, elle peut perturber la signalisation insulinique, notamment par une diminution de l’expression du récepteur de l’insuline et de la phosphorylation des protéines IRS-1 et Akt, contribuant ainsi à </w:t>
      </w:r>
      <w:r>
        <w:rPr>
          <w:rFonts w:asciiTheme="minorBidi" w:hAnsiTheme="minorBidi"/>
          <w:sz w:val="24"/>
          <w:szCs w:val="24"/>
        </w:rPr>
        <w:lastRenderedPageBreak/>
        <w:t>l’aggravation de la résistance à l’insuline.</w:t>
      </w:r>
      <w:sdt>
        <w:sdtPr>
          <w:rPr>
            <w:rFonts w:asciiTheme="minorBidi" w:hAnsiTheme="minorBidi"/>
            <w:sz w:val="24"/>
            <w:szCs w:val="24"/>
          </w:rPr>
          <w:id w:val="1174616662"/>
        </w:sdtPr>
        <w:sdtEndPr>
          <w:rPr>
            <w:b/>
            <w:bCs/>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Dai21 \l 1036 </w:instrText>
          </w:r>
          <w:r>
            <w:rPr>
              <w:rFonts w:asciiTheme="minorBidi" w:hAnsiTheme="minorBidi"/>
              <w:b/>
              <w:bCs/>
              <w:sz w:val="24"/>
              <w:szCs w:val="24"/>
            </w:rPr>
            <w:fldChar w:fldCharType="separate"/>
          </w:r>
          <w:r>
            <w:rPr>
              <w:rFonts w:asciiTheme="minorBidi" w:hAnsiTheme="minorBidi"/>
              <w:b/>
              <w:bCs/>
              <w:sz w:val="24"/>
              <w:szCs w:val="24"/>
            </w:rPr>
            <w:t xml:space="preserve"> (Daines,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37408768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Jos23 \l 1036 </w:instrText>
          </w:r>
          <w:r>
            <w:rPr>
              <w:rFonts w:asciiTheme="minorBidi" w:hAnsiTheme="minorBidi"/>
              <w:b/>
              <w:bCs/>
              <w:sz w:val="24"/>
              <w:szCs w:val="24"/>
            </w:rPr>
            <w:fldChar w:fldCharType="separate"/>
          </w:r>
          <w:r>
            <w:rPr>
              <w:rFonts w:asciiTheme="minorBidi" w:hAnsiTheme="minorBidi"/>
              <w:b/>
              <w:bCs/>
              <w:sz w:val="24"/>
              <w:szCs w:val="24"/>
            </w:rPr>
            <w:t>(Joshi A,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67390467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Tsu24 \l 1036 </w:instrText>
          </w:r>
          <w:r>
            <w:rPr>
              <w:rFonts w:asciiTheme="minorBidi" w:hAnsiTheme="minorBidi"/>
              <w:b/>
              <w:bCs/>
              <w:sz w:val="24"/>
              <w:szCs w:val="24"/>
            </w:rPr>
            <w:fldChar w:fldCharType="separate"/>
          </w:r>
          <w:r>
            <w:rPr>
              <w:rFonts w:asciiTheme="minorBidi" w:hAnsiTheme="minorBidi"/>
              <w:b/>
              <w:bCs/>
              <w:sz w:val="24"/>
              <w:szCs w:val="24"/>
            </w:rPr>
            <w:t>(Tsuruta Y, 2024)</w:t>
          </w:r>
          <w:r>
            <w:rPr>
              <w:rFonts w:asciiTheme="minorBidi" w:hAnsiTheme="minorBidi"/>
              <w:b/>
              <w:bCs/>
              <w:sz w:val="24"/>
              <w:szCs w:val="24"/>
            </w:rPr>
            <w:fldChar w:fldCharType="end"/>
          </w:r>
        </w:sdtContent>
      </w:sdt>
    </w:p>
    <w:p w14:paraId="5E49C6D6"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Le β-hydroxybutyrate constitue le principal corps cétonique circulant et atteint les concentrations plasmatiques les plus élevées. Son dosage sanguin représente donc un marqueur important pour le dépistage précoce de l’acidocétose diabétique.</w:t>
      </w:r>
      <w:r>
        <w:rPr>
          <w:rFonts w:asciiTheme="minorBidi" w:hAnsiTheme="minorBidi"/>
          <w:b/>
          <w:bCs/>
          <w:sz w:val="24"/>
          <w:szCs w:val="24"/>
        </w:rPr>
        <w:t xml:space="preserve"> </w:t>
      </w:r>
      <w:sdt>
        <w:sdtPr>
          <w:rPr>
            <w:rFonts w:asciiTheme="minorBidi" w:hAnsiTheme="minorBidi"/>
            <w:b/>
            <w:bCs/>
            <w:sz w:val="24"/>
            <w:szCs w:val="24"/>
          </w:rPr>
          <w:id w:val="15921061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Tre22 \l 1036 </w:instrText>
          </w:r>
          <w:r>
            <w:rPr>
              <w:rFonts w:asciiTheme="minorBidi" w:hAnsiTheme="minorBidi"/>
              <w:b/>
              <w:bCs/>
              <w:sz w:val="24"/>
              <w:szCs w:val="24"/>
            </w:rPr>
            <w:fldChar w:fldCharType="separate"/>
          </w:r>
          <w:r>
            <w:rPr>
              <w:rFonts w:asciiTheme="minorBidi" w:hAnsiTheme="minorBidi"/>
              <w:b/>
              <w:bCs/>
              <w:sz w:val="24"/>
              <w:szCs w:val="24"/>
            </w:rPr>
            <w:t>(Tremblay ES, 2022)</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41716481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Jos23 \l 1036 </w:instrText>
          </w:r>
          <w:r>
            <w:rPr>
              <w:rFonts w:asciiTheme="minorBidi" w:hAnsiTheme="minorBidi"/>
              <w:b/>
              <w:bCs/>
              <w:sz w:val="24"/>
              <w:szCs w:val="24"/>
            </w:rPr>
            <w:fldChar w:fldCharType="separate"/>
          </w:r>
          <w:r>
            <w:rPr>
              <w:rFonts w:asciiTheme="minorBidi" w:hAnsiTheme="minorBidi"/>
              <w:b/>
              <w:bCs/>
              <w:sz w:val="24"/>
              <w:szCs w:val="24"/>
            </w:rPr>
            <w:t>(Joshi A,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70122944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Tsu24 \l 1036 </w:instrText>
          </w:r>
          <w:r>
            <w:rPr>
              <w:rFonts w:asciiTheme="minorBidi" w:hAnsiTheme="minorBidi"/>
              <w:b/>
              <w:bCs/>
              <w:sz w:val="24"/>
              <w:szCs w:val="24"/>
            </w:rPr>
            <w:fldChar w:fldCharType="separate"/>
          </w:r>
          <w:r>
            <w:rPr>
              <w:rFonts w:asciiTheme="minorBidi" w:hAnsiTheme="minorBidi"/>
              <w:b/>
              <w:bCs/>
              <w:sz w:val="24"/>
              <w:szCs w:val="24"/>
            </w:rPr>
            <w:t>(Tsuruta Y, 2024)</w:t>
          </w:r>
          <w:r>
            <w:rPr>
              <w:rFonts w:asciiTheme="minorBidi" w:hAnsiTheme="minorBidi"/>
              <w:b/>
              <w:bCs/>
              <w:sz w:val="24"/>
              <w:szCs w:val="24"/>
            </w:rPr>
            <w:fldChar w:fldCharType="end"/>
          </w:r>
        </w:sdtContent>
      </w:sdt>
    </w:p>
    <w:p w14:paraId="4F5DD682" w14:textId="77777777" w:rsidR="00502BB2" w:rsidRDefault="00502BB2">
      <w:pPr>
        <w:spacing w:line="360" w:lineRule="auto"/>
        <w:rPr>
          <w:rFonts w:asciiTheme="minorBidi" w:hAnsiTheme="minorBidi"/>
          <w:sz w:val="24"/>
          <w:szCs w:val="24"/>
        </w:rPr>
        <w:sectPr w:rsidR="00502BB2" w:rsidSect="00DC455F">
          <w:headerReference w:type="even" r:id="rId49"/>
          <w:headerReference w:type="default" r:id="rId50"/>
          <w:footerReference w:type="default" r:id="rId51"/>
          <w:pgSz w:w="12240" w:h="15840"/>
          <w:pgMar w:top="1417" w:right="1417" w:bottom="1417" w:left="1417" w:header="720" w:footer="720" w:gutter="0"/>
          <w:cols w:space="720"/>
          <w:docGrid w:linePitch="299"/>
        </w:sectPr>
      </w:pPr>
    </w:p>
    <w:p w14:paraId="5DFB201A" w14:textId="77777777" w:rsidR="00502BB2" w:rsidRDefault="00502BB2">
      <w:pPr>
        <w:spacing w:line="360" w:lineRule="auto"/>
        <w:rPr>
          <w:rFonts w:asciiTheme="minorBidi" w:hAnsiTheme="minorBidi"/>
          <w:sz w:val="24"/>
          <w:szCs w:val="24"/>
        </w:rPr>
      </w:pPr>
    </w:p>
    <w:p w14:paraId="060B6E59" w14:textId="77777777" w:rsidR="00502BB2" w:rsidRDefault="00502BB2">
      <w:pPr>
        <w:rPr>
          <w:rFonts w:asciiTheme="minorBidi" w:hAnsiTheme="minorBidi"/>
          <w:sz w:val="24"/>
          <w:szCs w:val="24"/>
        </w:rPr>
      </w:pPr>
    </w:p>
    <w:p w14:paraId="7F950B31" w14:textId="77777777" w:rsidR="00502BB2" w:rsidRDefault="00502BB2">
      <w:pPr>
        <w:rPr>
          <w:rFonts w:asciiTheme="minorBidi" w:hAnsiTheme="minorBidi"/>
          <w:sz w:val="24"/>
          <w:szCs w:val="24"/>
        </w:rPr>
      </w:pPr>
    </w:p>
    <w:p w14:paraId="13DB6637" w14:textId="77777777" w:rsidR="00502BB2" w:rsidRDefault="00502BB2">
      <w:pPr>
        <w:rPr>
          <w:rFonts w:asciiTheme="minorBidi" w:hAnsiTheme="minorBidi"/>
          <w:sz w:val="24"/>
          <w:szCs w:val="24"/>
        </w:rPr>
      </w:pPr>
    </w:p>
    <w:p w14:paraId="62ED18EE" w14:textId="77777777" w:rsidR="00502BB2" w:rsidRDefault="00502BB2">
      <w:pPr>
        <w:rPr>
          <w:rFonts w:asciiTheme="minorBidi" w:hAnsiTheme="minorBidi"/>
          <w:sz w:val="24"/>
          <w:szCs w:val="24"/>
        </w:rPr>
      </w:pPr>
    </w:p>
    <w:p w14:paraId="3CE25135" w14:textId="77777777" w:rsidR="00502BB2" w:rsidRDefault="00502BB2">
      <w:pPr>
        <w:rPr>
          <w:rFonts w:asciiTheme="minorBidi" w:hAnsiTheme="minorBidi"/>
          <w:sz w:val="24"/>
          <w:szCs w:val="24"/>
        </w:rPr>
      </w:pPr>
    </w:p>
    <w:p w14:paraId="51522390" w14:textId="77777777" w:rsidR="00502BB2" w:rsidRDefault="00502BB2">
      <w:pPr>
        <w:rPr>
          <w:rFonts w:asciiTheme="minorBidi" w:hAnsiTheme="minorBidi"/>
          <w:sz w:val="24"/>
          <w:szCs w:val="24"/>
        </w:rPr>
      </w:pPr>
    </w:p>
    <w:p w14:paraId="572B25D3" w14:textId="77777777" w:rsidR="00502BB2" w:rsidRDefault="00502BB2">
      <w:pPr>
        <w:rPr>
          <w:rFonts w:asciiTheme="minorBidi" w:hAnsiTheme="minorBidi"/>
          <w:sz w:val="24"/>
          <w:szCs w:val="24"/>
        </w:rPr>
      </w:pPr>
    </w:p>
    <w:p w14:paraId="2D56F9AD" w14:textId="77777777" w:rsidR="00502BB2" w:rsidRDefault="0069123E">
      <w:pPr>
        <w:rPr>
          <w:rFonts w:asciiTheme="minorBidi" w:hAnsiTheme="minorBidi"/>
          <w:sz w:val="24"/>
          <w:szCs w:val="24"/>
        </w:rPr>
      </w:pPr>
      <w:r>
        <w:rPr>
          <w:noProof/>
        </w:rPr>
        <mc:AlternateContent>
          <mc:Choice Requires="wps">
            <w:drawing>
              <wp:anchor distT="0" distB="0" distL="114300" distR="114300" simplePos="0" relativeHeight="251693056" behindDoc="0" locked="0" layoutInCell="1" allowOverlap="1" wp14:anchorId="16D9806D" wp14:editId="3120A459">
                <wp:simplePos x="0" y="0"/>
                <wp:positionH relativeFrom="margin">
                  <wp:posOffset>581660</wp:posOffset>
                </wp:positionH>
                <wp:positionV relativeFrom="paragraph">
                  <wp:posOffset>147955</wp:posOffset>
                </wp:positionV>
                <wp:extent cx="5372100" cy="3166110"/>
                <wp:effectExtent l="895350" t="0" r="19050" b="777240"/>
                <wp:wrapNone/>
                <wp:docPr id="915892962" name="Callout: Double Bent Line with No Border 23"/>
                <wp:cNvGraphicFramePr/>
                <a:graphic xmlns:a="http://schemas.openxmlformats.org/drawingml/2006/main">
                  <a:graphicData uri="http://schemas.microsoft.com/office/word/2010/wordprocessingShape">
                    <wps:wsp>
                      <wps:cNvSpPr/>
                      <wps:spPr>
                        <a:xfrm>
                          <a:off x="0" y="0"/>
                          <a:ext cx="5372100" cy="3166110"/>
                        </a:xfrm>
                        <a:prstGeom prst="callout3">
                          <a:avLst>
                            <a:gd name="adj1" fmla="val 18750"/>
                            <a:gd name="adj2" fmla="val -2801"/>
                            <a:gd name="adj3" fmla="val 18750"/>
                            <a:gd name="adj4" fmla="val -16667"/>
                            <a:gd name="adj5" fmla="val 100000"/>
                            <a:gd name="adj6" fmla="val -16667"/>
                            <a:gd name="adj7" fmla="val 123793"/>
                            <a:gd name="adj8" fmla="val -3014"/>
                          </a:avLst>
                        </a:prstGeom>
                        <a:ln>
                          <a:headEnd type="none" w="med" len="med"/>
                          <a:tailEnd type="none" w="med" len="med"/>
                        </a:ln>
                      </wps:spPr>
                      <wps:style>
                        <a:lnRef idx="1">
                          <a:schemeClr val="dk1"/>
                        </a:lnRef>
                        <a:fillRef idx="2">
                          <a:schemeClr val="dk1"/>
                        </a:fillRef>
                        <a:effectRef idx="1">
                          <a:schemeClr val="dk1"/>
                        </a:effectRef>
                        <a:fontRef idx="minor">
                          <a:schemeClr val="dk1"/>
                        </a:fontRef>
                      </wps:style>
                      <wps:txbx>
                        <w:txbxContent>
                          <w:p w14:paraId="428FCB35" w14:textId="77777777" w:rsidR="00502BB2" w:rsidRDefault="00502BB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6D9806D" id="_x0000_s1047" type="#_x0000_t43" style="position:absolute;margin-left:45.8pt;margin-top:11.65pt;width:423pt;height:249.3pt;z-index:251693056;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YWltQIAAFAGAAAOAAAAZHJzL2Uyb0RvYy54bWysVdtuEzEQfUfiHyy/p7vezaWNuqmiliKk&#10;ilYUxLPjtbsLvmE7N76esZNsFkIpQuTBGdtnZjxnLnt5tVESrbjzrdEVJmc5RlwzU7f6qcKfPt4O&#10;zjHygeqaSqN5hbfc46vZ61eXazvlhWmMrLlDYET76dpWuAnBTrPMs4Yr6s+M5RouhXGKBti6p6x2&#10;dA3WlcyKPB9na+Nq6wzj3sPpze4Sz5J9ITgL90J4HpCsMLwtpNWldRHXbHZJp0+O2qZl+2fQf3iF&#10;oq0Gp52pGxooWrr2xJRqmTPeiHDGjMqMEC3jKQaIhuS/RPPYUMtTLECOtx1N/v+ZZe9Xj/bBAQ1r&#10;66cexBjFRjgV/+F9aJPI2nZk8U1ADA5H5aQgOXDK4K4k4zEhic7sqG6dD2+5USgKFWZUSrMMZSKK&#10;ru58SIzVSFMFpUHrLwQjoSQkYEUlIueT0SFBPUzRxwyK85zsk9jDlH3MM3aGfcwA3j+enBoa9UEQ&#10;LfxOQeM+6DlLkz6IFOXkojy1BM1yjH9Q5mQYMcDoni2QDpxG6qSOa8Np/UbXKGwtsKihzTBaV1jx&#10;GiPJoSujlOo80Fb+DRLcRNPZsSSSFLaS79x+4AK1NRQBSblM3cqvpUOQtwrXX1NKkhVARhXRStkp&#10;FX9W2mOjGk8d3Cm+4K1DJ49Gh05Rtdq4F7zu8Ieod7HGsMNmsYFgK1ykqOLRwtTbB4ec2Y0Tb9lt&#10;CxV+R314oA7KF7oCZmK4h0VIA8kwewmjxrjvvzuPeGhruIXswTyqsP+2pA5yKd9paPgLMhzGAZY2&#10;w9GkgI3r3yz6N3qprg2kAhoKXpfEiA/yIApn1GcYnfPoFa6oZuAbejS4w+Y67OYkDF/G5/MEg6Fl&#10;abjTj5Ydkq/NfBmMaEOs1CM7+w2MLZB+mov9fUIdPwSzHwAAAP//AwBQSwMEFAAGAAgAAAAhAJLD&#10;8xzdAAAACQEAAA8AAABkcnMvZG93bnJldi54bWxMj81OwzAQhO9IvIO1SNyonUSkOMSpED9XJAoP&#10;4MRLEhqvI9ttAk+POdHj7Ixmvq13q53YCX0YHSnINgIYUufMSL2Cj/eXmztgIWoyenKECr4xwK65&#10;vKh1ZdxCb3jax56lEgqVVjDEOFech25Aq8PGzUjJ+3Te6pik77nxeknlduK5ECW3eqS0MOgZHwfs&#10;DvujVSC8LCKXk2mXH/H6dXgql+etVur6an24BxZxjf9h+MNP6NAkptYdyQQ2KZBZmZIK8qIAlnxZ&#10;bNOhVXCbZxJ4U/PzD5pfAAAA//8DAFBLAQItABQABgAIAAAAIQC2gziS/gAAAOEBAAATAAAAAAAA&#10;AAAAAAAAAAAAAABbQ29udGVudF9UeXBlc10ueG1sUEsBAi0AFAAGAAgAAAAhADj9If/WAAAAlAEA&#10;AAsAAAAAAAAAAAAAAAAALwEAAF9yZWxzLy5yZWxzUEsBAi0AFAAGAAgAAAAhAGClhaW1AgAAUAYA&#10;AA4AAAAAAAAAAAAAAAAALgIAAGRycy9lMm9Eb2MueG1sUEsBAi0AFAAGAAgAAAAhAJLD8xzdAAAA&#10;CQEAAA8AAAAAAAAAAAAAAAAADwUAAGRycy9kb3ducmV2LnhtbFBLBQYAAAAABAAEAPMAAAAZBgAA&#10;AAA=&#10;" adj="-651,26739,-3600,,-3600,,-605" fillcolor="#555 [2160]" strokecolor="black [3200]" strokeweight=".5pt">
                <v:fill color2="#313131 [2608]" rotate="t" colors="0 #9b9b9b;.5 #8e8e8e;1 #797979" focus="100%" type="gradient">
                  <o:fill v:ext="view" type="gradientUnscaled"/>
                </v:fill>
                <v:textbox>
                  <w:txbxContent>
                    <w:p w14:paraId="428FCB35" w14:textId="77777777" w:rsidR="00502BB2" w:rsidRDefault="00502BB2"/>
                  </w:txbxContent>
                </v:textbox>
                <o:callout v:ext="edit" minusx="t" minusy="t"/>
                <w10:wrap anchorx="margin"/>
              </v:shape>
            </w:pict>
          </mc:Fallback>
        </mc:AlternateContent>
      </w:r>
    </w:p>
    <w:p w14:paraId="7CB53C82" w14:textId="77777777" w:rsidR="00502BB2" w:rsidRDefault="0069123E">
      <w:pPr>
        <w:rPr>
          <w:rFonts w:asciiTheme="minorBidi" w:hAnsiTheme="minorBidi"/>
          <w:sz w:val="24"/>
          <w:szCs w:val="24"/>
        </w:rPr>
      </w:pPr>
      <w:r>
        <w:rPr>
          <w:noProof/>
        </w:rPr>
        <mc:AlternateContent>
          <mc:Choice Requires="wps">
            <w:drawing>
              <wp:anchor distT="0" distB="0" distL="114300" distR="114300" simplePos="0" relativeHeight="251694080" behindDoc="0" locked="0" layoutInCell="1" allowOverlap="1" wp14:anchorId="4C4DC080" wp14:editId="5DDEC3FE">
                <wp:simplePos x="0" y="0"/>
                <wp:positionH relativeFrom="margin">
                  <wp:posOffset>-139700</wp:posOffset>
                </wp:positionH>
                <wp:positionV relativeFrom="paragraph">
                  <wp:posOffset>110490</wp:posOffset>
                </wp:positionV>
                <wp:extent cx="6781800" cy="3520440"/>
                <wp:effectExtent l="0" t="0" r="0" b="3810"/>
                <wp:wrapNone/>
                <wp:docPr id="1237331438" name="Text Box 1"/>
                <wp:cNvGraphicFramePr/>
                <a:graphic xmlns:a="http://schemas.openxmlformats.org/drawingml/2006/main">
                  <a:graphicData uri="http://schemas.microsoft.com/office/word/2010/wordprocessingShape">
                    <wps:wsp>
                      <wps:cNvSpPr txBox="1"/>
                      <wps:spPr>
                        <a:xfrm>
                          <a:off x="0" y="0"/>
                          <a:ext cx="6781800" cy="35204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A88153D"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Partie2. Cadre </w:t>
                            </w:r>
                          </w:p>
                          <w:p w14:paraId="01A3BC27"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pratique de l’étude </w:t>
                            </w:r>
                          </w:p>
                          <w:p w14:paraId="0175C25E" w14:textId="77777777" w:rsidR="00502BB2" w:rsidRDefault="00502BB2">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C4DC080" id="_x0000_s1048" type="#_x0000_t202" style="position:absolute;margin-left:-11pt;margin-top:8.7pt;width:534pt;height:277.2pt;z-index:25169408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h6kUwIAAP4EAAAOAAAAZHJzL2Uyb0RvYy54bWysVEuP2jAQvlfqf7B8L4GU3aWIsKKsqCqh&#10;7qq06tk4NrHqeFzbkNBfv2OHAH1cturFHs97vpnx7L6tNTkI5xWYgo4GQ0qE4VAqsyvo1y+rNxNK&#10;fGCmZBqMKOhReHo/f/1q1tipyKECXQpH0Inx08YWtArBTrPM80rUzA/ACoNCCa5mAZ9ul5WONei9&#10;1lk+HN5mDbjSOuDCe+Q+dEI6T/6lFDw8SulFILqgmFtIp0vnNp7ZfMamO8dspfgpDfYPWdRMGQx6&#10;dvXAAiN7p/5wVSvuwIMMAw51BlIqLlINWM1o+Fs1m4pZkWpBcLw9w+T/n1v+6bCxT46E9j202MAI&#10;SGP91CMz1tNKV8cbMyUoRwiPZ9hEGwhH5u3dZDQZooij7O1NPhyPE7DZxdw6Hz4IqEkkCuqwLwku&#10;dlj7gCFRtVeJ0QyslNapN9r8wkDFyMkuOSYqHLWIetp8FpKoMqUaGZ673XapHel6jkOJefadT87Q&#10;ICpKDPhC25NJtBZp1F5ofzZK8cGEs32tDLgEUFoEEQs4MBzh8nvqECYuO/0eig6AiEVoty0iUNA8&#10;75u5hfKIPXbQjb+3fKWwD2vmwxNzOO+ICe5weMRDamgKCieKkgrcz7/xoz6OIUopaXB/Cup/7JkT&#10;lOiPBgf03ShOAQnpMb65y/HhriXba4nZ10vA+kb4W1ieyKgfdE9KB/U3XPVFjIoiZjjGLmjoyWXo&#10;OoxfBReLRVLCFbMsrM3G8ug6wmxgsQ8gVRq6CFeHzQlGXLI0i6cPIW7x9TtpXb6t+TMAAAD//wMA&#10;UEsDBBQABgAIAAAAIQB6QdCL3wAAAAsBAAAPAAAAZHJzL2Rvd25yZXYueG1sTI/NTsMwEITvSLyD&#10;tUjcWrtR+kOIU1VFXEG0BYmbG2+TiHgdxW4T3p7tiR53ZjT7Tb4eXSsu2IfGk4bZVIFAKr1tqNJw&#10;2L9OViBCNGRN6wk1/GKAdXF/l5vM+oE+8LKLleASCpnRUMfYZVKGskZnwtR3SOydfO9M5LOvpO3N&#10;wOWulYlSC+lMQ/yhNh1uayx/dmen4fPt9P2Vqvfqxc27wY9KknuSWj8+jJtnEBHH+B+GKz6jQ8FM&#10;R38mG0SrYZIkvCWysUxBXAMqXbBy1DBfzlYgi1zebij+AAAA//8DAFBLAQItABQABgAIAAAAIQC2&#10;gziS/gAAAOEBAAATAAAAAAAAAAAAAAAAAAAAAABbQ29udGVudF9UeXBlc10ueG1sUEsBAi0AFAAG&#10;AAgAAAAhADj9If/WAAAAlAEAAAsAAAAAAAAAAAAAAAAALwEAAF9yZWxzLy5yZWxzUEsBAi0AFAAG&#10;AAgAAAAhAIJuHqRTAgAA/gQAAA4AAAAAAAAAAAAAAAAALgIAAGRycy9lMm9Eb2MueG1sUEsBAi0A&#10;FAAGAAgAAAAhAHpB0IvfAAAACwEAAA8AAAAAAAAAAAAAAAAArQQAAGRycy9kb3ducmV2LnhtbFBL&#10;BQYAAAAABAAEAPMAAAC5BQAAAAA=&#10;" filled="f" stroked="f">
                <v:textbox>
                  <w:txbxContent>
                    <w:p w14:paraId="6A88153D"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Partie2. Cadre </w:t>
                      </w:r>
                    </w:p>
                    <w:p w14:paraId="01A3BC27"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pratique de l’étude </w:t>
                      </w:r>
                    </w:p>
                    <w:p w14:paraId="0175C25E" w14:textId="77777777" w:rsidR="00502BB2" w:rsidRDefault="00502BB2">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p>
                  </w:txbxContent>
                </v:textbox>
                <w10:wrap anchorx="margin"/>
              </v:shape>
            </w:pict>
          </mc:Fallback>
        </mc:AlternateContent>
      </w:r>
    </w:p>
    <w:p w14:paraId="4FDF3F30" w14:textId="77777777" w:rsidR="00502BB2" w:rsidRDefault="00502BB2">
      <w:pPr>
        <w:rPr>
          <w:rFonts w:asciiTheme="minorBidi" w:hAnsiTheme="minorBidi"/>
          <w:sz w:val="24"/>
          <w:szCs w:val="24"/>
        </w:rPr>
      </w:pPr>
    </w:p>
    <w:p w14:paraId="4287E6EF" w14:textId="77777777" w:rsidR="00502BB2" w:rsidRDefault="0069123E">
      <w:pPr>
        <w:tabs>
          <w:tab w:val="left" w:pos="2680"/>
        </w:tabs>
        <w:rPr>
          <w:rFonts w:asciiTheme="minorBidi" w:hAnsiTheme="minorBidi"/>
          <w:sz w:val="24"/>
          <w:szCs w:val="24"/>
        </w:rPr>
      </w:pPr>
      <w:r>
        <w:rPr>
          <w:rFonts w:asciiTheme="minorBidi" w:hAnsiTheme="minorBidi"/>
          <w:sz w:val="24"/>
          <w:szCs w:val="24"/>
        </w:rPr>
        <w:tab/>
      </w:r>
    </w:p>
    <w:p w14:paraId="72B33823" w14:textId="77777777" w:rsidR="00502BB2" w:rsidRDefault="0069123E">
      <w:pPr>
        <w:tabs>
          <w:tab w:val="left" w:pos="2680"/>
        </w:tabs>
        <w:rPr>
          <w:rFonts w:asciiTheme="minorBidi" w:hAnsiTheme="minorBidi"/>
          <w:sz w:val="24"/>
          <w:szCs w:val="24"/>
        </w:rPr>
        <w:sectPr w:rsidR="00502BB2">
          <w:headerReference w:type="default" r:id="rId52"/>
          <w:footerReference w:type="default" r:id="rId53"/>
          <w:pgSz w:w="12240" w:h="15840"/>
          <w:pgMar w:top="1417" w:right="1417" w:bottom="1417" w:left="1417" w:header="720" w:footer="720" w:gutter="0"/>
          <w:cols w:space="720"/>
        </w:sectPr>
      </w:pPr>
      <w:r>
        <w:rPr>
          <w:rFonts w:asciiTheme="minorBidi" w:hAnsiTheme="minorBidi"/>
          <w:sz w:val="24"/>
          <w:szCs w:val="24"/>
        </w:rPr>
        <w:tab/>
      </w:r>
    </w:p>
    <w:p w14:paraId="607D8455" w14:textId="77777777" w:rsidR="00502BB2" w:rsidRDefault="0069123E">
      <w:pPr>
        <w:pStyle w:val="Heading1"/>
        <w:jc w:val="center"/>
        <w:rPr>
          <w:rFonts w:ascii="Segoe Print" w:hAnsi="Segoe Print"/>
          <w:b/>
          <w:bCs/>
          <w:color w:val="0D0D0D" w:themeColor="text1" w:themeTint="F2"/>
          <w:sz w:val="42"/>
          <w:szCs w:val="42"/>
        </w:rPr>
      </w:pPr>
      <w:bookmarkStart w:id="63" w:name="_Toc226577338"/>
      <w:r>
        <w:rPr>
          <w:rFonts w:ascii="Segoe Print" w:hAnsi="Segoe Print"/>
          <w:b/>
          <w:bCs/>
          <w:color w:val="0D0D0D" w:themeColor="text1" w:themeTint="F2"/>
          <w:sz w:val="42"/>
          <w:szCs w:val="42"/>
        </w:rPr>
        <w:lastRenderedPageBreak/>
        <w:t>Cadre pratique de l’étude</w:t>
      </w:r>
      <w:bookmarkEnd w:id="63"/>
    </w:p>
    <w:p w14:paraId="4A4AA731" w14:textId="77777777" w:rsidR="00502BB2" w:rsidRDefault="0069123E">
      <w:pPr>
        <w:pStyle w:val="Heading2"/>
        <w:numPr>
          <w:ilvl w:val="0"/>
          <w:numId w:val="9"/>
        </w:numPr>
        <w:rPr>
          <w:rFonts w:asciiTheme="minorBidi" w:hAnsiTheme="minorBidi" w:cstheme="minorBidi"/>
          <w:b/>
          <w:bCs/>
          <w:color w:val="0D0D0D" w:themeColor="text1" w:themeTint="F2"/>
          <w:sz w:val="28"/>
          <w:szCs w:val="28"/>
        </w:rPr>
      </w:pPr>
      <w:bookmarkStart w:id="64" w:name="_Toc226577339"/>
      <w:r>
        <w:rPr>
          <w:rFonts w:asciiTheme="minorBidi" w:hAnsiTheme="minorBidi" w:cstheme="minorBidi"/>
          <w:b/>
          <w:bCs/>
          <w:color w:val="0D0D0D" w:themeColor="text1" w:themeTint="F2"/>
          <w:sz w:val="28"/>
          <w:szCs w:val="28"/>
        </w:rPr>
        <w:t>Objectif de l’étude :</w:t>
      </w:r>
      <w:bookmarkEnd w:id="64"/>
    </w:p>
    <w:p w14:paraId="2CFCD560"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Cette étude vise à déterminer des marqueurs prédictifs du coma induit par l’acidocétose diabétique dans la wilaya de Tlemcen, en analysant et en comparant les profils métaboliques et biochimiques des patients atteints de cette complication.</w:t>
      </w:r>
    </w:p>
    <w:p w14:paraId="7A927DCB" w14:textId="77777777" w:rsidR="00502BB2" w:rsidRDefault="0069123E">
      <w:pPr>
        <w:pStyle w:val="Heading2"/>
        <w:numPr>
          <w:ilvl w:val="0"/>
          <w:numId w:val="9"/>
        </w:numPr>
        <w:spacing w:line="276" w:lineRule="auto"/>
        <w:rPr>
          <w:rFonts w:asciiTheme="minorBidi" w:hAnsiTheme="minorBidi" w:cstheme="minorBidi"/>
          <w:b/>
          <w:bCs/>
          <w:color w:val="0D0D0D" w:themeColor="text1" w:themeTint="F2"/>
          <w:sz w:val="28"/>
          <w:szCs w:val="28"/>
        </w:rPr>
      </w:pPr>
      <w:bookmarkStart w:id="65" w:name="_Toc226577340"/>
      <w:r>
        <w:rPr>
          <w:rFonts w:asciiTheme="minorBidi" w:hAnsiTheme="minorBidi" w:cstheme="minorBidi"/>
          <w:b/>
          <w:bCs/>
          <w:color w:val="0D0D0D" w:themeColor="text1" w:themeTint="F2"/>
          <w:sz w:val="28"/>
          <w:szCs w:val="28"/>
        </w:rPr>
        <w:t>Plan d’étude :</w:t>
      </w:r>
      <w:bookmarkEnd w:id="65"/>
    </w:p>
    <w:p w14:paraId="60F0BE3E" w14:textId="77777777" w:rsidR="00502BB2" w:rsidRDefault="0069123E">
      <w:pPr>
        <w:pStyle w:val="ListParagraph"/>
        <w:numPr>
          <w:ilvl w:val="0"/>
          <w:numId w:val="10"/>
        </w:numPr>
        <w:spacing w:line="276" w:lineRule="auto"/>
        <w:rPr>
          <w:rFonts w:asciiTheme="minorBidi" w:hAnsiTheme="minorBidi"/>
          <w:b/>
          <w:bCs/>
          <w:sz w:val="24"/>
          <w:szCs w:val="24"/>
        </w:rPr>
      </w:pPr>
      <w:r>
        <w:rPr>
          <w:rFonts w:asciiTheme="minorBidi" w:hAnsiTheme="minorBidi"/>
          <w:b/>
          <w:bCs/>
          <w:sz w:val="24"/>
          <w:szCs w:val="24"/>
        </w:rPr>
        <w:t>Lieu et type de l’étude </w:t>
      </w:r>
    </w:p>
    <w:p w14:paraId="0EBF4723" w14:textId="77777777" w:rsidR="00502BB2" w:rsidRDefault="0069123E">
      <w:pPr>
        <w:spacing w:line="360" w:lineRule="auto"/>
        <w:ind w:firstLine="141"/>
        <w:jc w:val="both"/>
        <w:rPr>
          <w:rFonts w:asciiTheme="minorBidi" w:hAnsiTheme="minorBidi"/>
          <w:sz w:val="24"/>
          <w:szCs w:val="24"/>
        </w:rPr>
      </w:pPr>
      <w:r>
        <w:rPr>
          <w:rFonts w:asciiTheme="minorBidi" w:hAnsiTheme="minorBidi"/>
          <w:sz w:val="24"/>
          <w:szCs w:val="24"/>
        </w:rPr>
        <w:t>I</w:t>
      </w:r>
      <w:r>
        <w:rPr>
          <w:rFonts w:asciiTheme="minorBidi" w:eastAsia="Times New Roman" w:hAnsiTheme="minorBidi"/>
          <w:kern w:val="0"/>
          <w:sz w:val="24"/>
          <w:szCs w:val="24"/>
          <w:lang w:eastAsia="fr-FR"/>
          <w14:ligatures w14:val="none"/>
        </w:rPr>
        <w:t>l</w:t>
      </w:r>
      <w:r>
        <w:rPr>
          <w:rFonts w:asciiTheme="minorBidi" w:hAnsiTheme="minorBidi"/>
          <w:sz w:val="24"/>
          <w:szCs w:val="24"/>
        </w:rPr>
        <w:t xml:space="preserve"> s’agit d’une étude transversale prospective réalisée dans la wilaya de Tlemcen, au niveau de la commune de Tlemcen (figure 26).</w:t>
      </w:r>
    </w:p>
    <w:p w14:paraId="5B18D1CB" w14:textId="77777777" w:rsidR="00502BB2" w:rsidRDefault="0069123E">
      <w:pPr>
        <w:keepNext/>
        <w:spacing w:line="360" w:lineRule="auto"/>
        <w:jc w:val="center"/>
      </w:pPr>
      <w:r>
        <w:rPr>
          <w:rFonts w:asciiTheme="minorBidi" w:hAnsiTheme="minorBidi"/>
          <w:noProof/>
          <w:sz w:val="24"/>
          <w:szCs w:val="24"/>
        </w:rPr>
        <mc:AlternateContent>
          <mc:Choice Requires="wps">
            <w:drawing>
              <wp:anchor distT="0" distB="0" distL="114300" distR="114300" simplePos="0" relativeHeight="251692032" behindDoc="0" locked="0" layoutInCell="1" allowOverlap="1" wp14:anchorId="4611CAC7" wp14:editId="339D1686">
                <wp:simplePos x="0" y="0"/>
                <wp:positionH relativeFrom="column">
                  <wp:posOffset>214630</wp:posOffset>
                </wp:positionH>
                <wp:positionV relativeFrom="paragraph">
                  <wp:posOffset>2168525</wp:posOffset>
                </wp:positionV>
                <wp:extent cx="676275" cy="247650"/>
                <wp:effectExtent l="0" t="0" r="28575" b="19050"/>
                <wp:wrapNone/>
                <wp:docPr id="655333252" name="Rectangle 25"/>
                <wp:cNvGraphicFramePr/>
                <a:graphic xmlns:a="http://schemas.openxmlformats.org/drawingml/2006/main">
                  <a:graphicData uri="http://schemas.microsoft.com/office/word/2010/wordprocessingShape">
                    <wps:wsp>
                      <wps:cNvSpPr/>
                      <wps:spPr>
                        <a:xfrm>
                          <a:off x="0" y="0"/>
                          <a:ext cx="676275" cy="247650"/>
                        </a:xfrm>
                        <a:prstGeom prst="rect">
                          <a:avLst/>
                        </a:prstGeom>
                      </wps:spPr>
                      <wps:style>
                        <a:lnRef idx="2">
                          <a:schemeClr val="accent6"/>
                        </a:lnRef>
                        <a:fillRef idx="100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xmlns:wpsCustomData="http://www.wps.cn/officeDocument/2013/wpsCustomData">
            <w:pict>
              <v:rect id="Rectangle 25" o:spid="_x0000_s1026" o:spt="1" style="position:absolute;left:0pt;margin-left:16.9pt;margin-top:170.75pt;height:19.5pt;width:53.25pt;z-index:251692032;v-text-anchor:middle;mso-width-relative:page;mso-height-relative:page;" fillcolor="#FFFFFF [3201]" filled="t" stroked="t" coordsize="21600,21600" o:gfxdata="UEsDBAoAAAAAAIdO4kAAAAAAAAAAAAAAAAAEAAAAZHJzL1BLAwQUAAAACACHTuJACaouLdYAAAAK&#10;AQAADwAAAGRycy9kb3ducmV2LnhtbE2PwU7DMAyG70i8Q2Qkbiwp6aaqa7oDEkIcGQiJW9ZkbVni&#10;VEnajbfHO8HJsv3r8+dmd/GOLTamMaCCYiWAWeyCGbFX8PH+/FABS1mj0S6gVfBjE+za25tG1yac&#10;8c0u+9wzgmCqtYIh56nmPHWD9TqtwmSRdscQvc7Uxp6bqM8E944/CrHhXo9IFwY92afBdqf97BXI&#10;UzXG7vvTDfIlln7jXme5fCl1f1eILbBsL/kvDFd9UoeWnA5hRpOYI4Yk80y1LNbAroFSSGAHmlRi&#10;Dbxt+P8X2l9QSwMEFAAAAAgAh07iQPGHPGhzAgAA/wQAAA4AAABkcnMvZTJvRG9jLnhtbK1US2/b&#10;MAy+D9h/EHRfnbh5dEGdImiaYUCxBuuGnRVZjgXoNUl5dL9+n2S3TbseepgPMilSH8lPpC6vjlqR&#10;vfBBWlPR4dmAEmG4raXZVvTnj9WnC0pCZKZmyhpR0QcR6NX844fLg5uJ0rZW1cITgJgwO7iKtjG6&#10;WVEE3grNwpl1wsDYWK9ZhOq3Re3ZAehaFeVgMCkO1tfOWy5CwO6yM9Ie0b8H0DaN5GJp+U4LEztU&#10;LxSLKCm00gU6z9k2jeDxrmmCiERVFJXGvCII5E1ai/klm209c63kfQrsPSm8qkkzaRD0CWrJIiM7&#10;L/+B0pJ7G2wTz7jVRVdIZgRVDAevuLlvmRO5FlAd3BPp4f/B8m/7tSeyruhkPD4/Py/HJSWGaVz8&#10;d5DHzFYJUo4TTwcXZnC/d2vfawFiKvrYeJ3+KIccM7cPT9yKYyQcm5PppJyOKeEwlaPpZJy5L54P&#10;Ox/iF2E1SUJFPaJnRtn+NkQEhOujS4oVrJL1SiqVFb/dXCtP9gzXvMpfyhhHXrgpQw5o+XI6wPVz&#10;huZt0DQQtQMBwWwpYWqLqeDR59gvTofTIKObxbS8eStISnLJQtslkxGSG5tpGTE4SuqKXgzS159W&#10;Bpkmcjs6k7Sx9QOuxduuX4PjKwnYWxbimnk0KPLHCMc7LI2yKMr2EiWt9X/e2k/+6BtYKTmg4VHw&#10;7x3zghL11aCjPg9HozQhWRmNpyUUf2rZnFrMTl9bkD3EY+F4FpN/VI9i463+hUlfpKgwMcMRu6O2&#10;V65jN4h4K7hYLLIbpsKxeGvuHU/giTdjF7toG5mb4JmdnjTMRb7ofobT4J3q2ev53Zr/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AmqLi3WAAAACgEAAA8AAAAAAAAAAQAgAAAAIgAAAGRycy9kb3du&#10;cmV2LnhtbFBLAQIUABQAAAAIAIdO4kDxhzxocwIAAP8EAAAOAAAAAAAAAAEAIAAAACUBAABkcnMv&#10;ZTJvRG9jLnhtbFBLBQYAAAAABgAGAFkBAAAKBgAAAAA=&#10;">
                <v:fill on="t" focussize="0,0"/>
                <v:stroke weight="1pt" color="#4EA72E [3209]" miterlimit="8" joinstyle="miter"/>
                <v:imagedata o:title=""/>
                <o:lock v:ext="edit" aspectratio="f"/>
              </v:rect>
            </w:pict>
          </mc:Fallback>
        </mc:AlternateContent>
      </w:r>
      <w:r>
        <w:rPr>
          <w:rFonts w:asciiTheme="minorBidi" w:hAnsiTheme="minorBidi"/>
          <w:noProof/>
          <w:sz w:val="24"/>
          <w:szCs w:val="24"/>
        </w:rPr>
        <mc:AlternateContent>
          <mc:Choice Requires="wps">
            <w:drawing>
              <wp:anchor distT="0" distB="0" distL="114300" distR="114300" simplePos="0" relativeHeight="251667456" behindDoc="0" locked="0" layoutInCell="1" allowOverlap="1" wp14:anchorId="2C75F18A" wp14:editId="43C01353">
                <wp:simplePos x="0" y="0"/>
                <wp:positionH relativeFrom="column">
                  <wp:posOffset>1844040</wp:posOffset>
                </wp:positionH>
                <wp:positionV relativeFrom="paragraph">
                  <wp:posOffset>956310</wp:posOffset>
                </wp:positionV>
                <wp:extent cx="183515" cy="235585"/>
                <wp:effectExtent l="95250" t="57150" r="0" b="69215"/>
                <wp:wrapNone/>
                <wp:docPr id="1651998944" name="Ink 20"/>
                <wp:cNvGraphicFramePr/>
                <a:graphic xmlns:a="http://schemas.openxmlformats.org/drawingml/2006/main">
                  <a:graphicData uri="http://schemas.microsoft.com/office/word/2010/wordprocessingInk">
                    <w14:contentPart bwMode="auto" r:id="rId54">
                      <w14:nvContentPartPr>
                        <w14:cNvContentPartPr/>
                      </w14:nvContentPartPr>
                      <w14:xfrm rot="19383853">
                        <a:off x="0" y="0"/>
                        <a:ext cx="183229" cy="235696"/>
                      </w14:xfrm>
                    </w14:contentPart>
                  </a:graphicData>
                </a:graphic>
              </wp:anchor>
            </w:drawing>
          </mc:Choice>
          <mc:Fallback xmlns:wpsCustomData="http://www.wps.cn/officeDocument/2013/wpsCustomData">
            <w:pict>
              <v:shape id="Ink 20" o:spid="_x0000_s1026" o:spt="75" style="position:absolute;left:0pt;margin-left:145.2pt;margin-top:75.3pt;height:18.55pt;width:14.45pt;z-index:251667456;mso-width-relative:page;mso-height-relative:page;" coordsize="21600,21600" o:gfxdata="UEsDBAoAAAAAAIdO4kAAAAAAAAAAAAAAAAAEAAAAZHJzL1BLAwQUAAAACACHTuJAufwUs9oAAAAL&#10;AQAADwAAAGRycy9kb3ducmV2LnhtbE2PzU7DMBCE70h9B2uRuFE7aYnaNE4PFQXEAaktQj268ZJE&#10;jdchdn94e5YTHHfm0+xMsby6TpxxCK0nDclYgUCqvG2p1vC+W9/PQIRoyJrOE2r4xgDLcnRTmNz6&#10;C23wvI214BAKudHQxNjnUoaqQWfC2PdI7H36wZnI51BLO5gLh7tOpkpl0pmW+ENjelw1WB23J6dh&#10;lby6VOJafT2Hj/308Sm+vTir9d1tohYgIl7jHwy/9bk6lNzp4E9kg+g0pHM1ZZSNB5WBYGKSZqwc&#10;WJlPZiDLQv7fUP4AUEsDBBQAAAAIAIdO4kCjCEifkQEAAIgDAAAOAAAAZHJzL2Uyb0RvYy54bWyt&#10;U8lOwzAQvSPxD5bvNEubtomacqBC4gD0AB9gHLuxiD3R2G3K3zPpQgsICSEukcfPeX5LMrve2oZt&#10;FHoDruTJIOZMOQmVcauSPz/dXk0580G4SjTgVMnflOfX88uLWdcWKoUamkohIxLni64teR1CW0SR&#10;l7Wywg+gVY5ADWhFoBFXUYWiI3bbRGkcj6MOsGoRpPKedhd7kB8Y8TeEoLWRagFybZULe1ZUjQhk&#10;ydem9Xy+U6u1kuFRa68Ca8jrZDIlt+FjRZelk2GccfZCqzjPMh7NZ6JYoWhrIw+SxG8kffFohXEk&#10;4oNqIYJgazTfqKyRCB50GEiw0d7YLiFylcRfsrpzr72zZCTXWEhwgdwvBYZjGzvgL1fYhiLo7qGi&#10;vsU6wD+3wbAwVcnxrkpO+t3m5uRgiSdfD5slsv58Ms6SPJ/moxFnTljSRgGwNO5LOobw8JmFkOgA&#10;/cS/1Wj7Zihrti05fRBv/XNXvNoGJmkzmQ7TNOdMEpQOs3E+7vEj857hOJ31QEc+NX4+96+f/UDz&#10;d1BLAwQKAAAAAACHTuJAAAAAAAAAAAAAAAAACAAAAGRycy9pbmsvUEsDBBQAAAAIAIdO4kBIPJ79&#10;FAIAAE8FAAAQAAAAZHJzL2luay9pbmsxLnhtbLVUTW/bMAy9D9h/ENRDL3GsjyR2jTq9BRiwAcPa&#10;AtvRtZVYqC0FsvLRfz9KVpQUSy/D5oMtPZGP5BPp+4dj36G9MIPUqsR0SjASqtaNVJsSPz+tkhyj&#10;wVaqqTqtRInfxIAflp8/3Uv12ncFvBEwqMGt+q7ErbXbIk0Ph8P0wKfabFJGCE+/qNdvX/EyeDVi&#10;LZW0EHI4QbVWVhytIytkU+LaHkm0B+5HvTO1iMcOMfXZwpqqFitt+spGxrZSSnRIVT3k/RMj+7aF&#10;hYQ4G2Ew6qtjiRmdZbOcwAOABAWSS2QHSQ6QS4/T66y//gvr6jorZ9kiwygk1Yi9yyr1uhcf1//d&#10;6K0wVoqz1KMw4eAN1ePeazSKZcSgu527H4z2VbcD2aiXKMSm6RVJ/uQDdf4pH+jyIR/cX0zuvTSh&#10;vEsdgmixrU6Xa2UvoNn7bewzOwCxgx+t8SPBCFskhCd09sRoMc8Lzi+uIXTxie/F7IY2cr2Yc7/6&#10;k6jYWNVBNraNgpMpjSVdqn3NsxVy09q/cq11p2EYwi3frP1zUZEPF9vsyuD6zkOh8B9iXeIbP7vI&#10;e46Arxz+LYQgyrn/wl8hyya3lDG3vYWt/5IJTCDP3Rov/JtMOLlzq4TlHkdkkmTeGrHcezuEsswb&#10;zeZjHDKhd3OHILrw7s6I5wEa3Z2NXyU0PyEJpSPnbH6OFuJngejd0EVtoJuW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eRi8nbgAAAAhAQAA&#10;GQAAAGRycy9fcmVscy9lMm9Eb2MueG1sLnJlbHOFz7FqxDAMBuC90Hcw2hslHcpR4mQ5DrKWFG41&#10;jpKYxLKxnNJ7+3rswcENGoTQ90tt/+t39UNJXGANTVWDIrZhcrxo+B4vbydQkg1PZg9MGm4k0Hev&#10;L+0X7SaXJVldFFUUFg1rzvETUexK3kgVInGZzCF5k0ubFozGbmYhfK/rD0z/DejuTDVMGtIwNaDG&#10;WyzJz+0wz87SOdjDE+cHEWgPycFf/V5QkxbKGhxvWKqpyqGAXYt3j3V/UEsDBBQAAAAIAIdO4kAD&#10;FSnaBQEAAC0CAAATAAAAW0NvbnRlbnRfVHlwZXNdLnhtbJWRwU7DMBBE70j8g+UrSpz2gBBq0gMp&#10;R0CofIBlbxKr9trymtD+PU7aXhCl4uCDvTNvRuvVeu8sGyGS8VjzRVlxBqi8NtjX/GP7XDxwRkmi&#10;ltYj1PwAxNfN7c1qewhALLuRaj6kFB6FIDWAk1T6AJgnnY9OpnyNvQhS7WQPYllV90J5TICpSBOD&#10;N6sWOvlpE9vs8/OxSQRLnD0dhVNWzWUI1iiZclMxov6RUpwSyuycNTSYQHe5Bhe/JkyTywEn32te&#10;TTQa2JuM6UW6XEPoSEL7L4wwln9DppaOCt91RkHZRmqz7R3Gc6tLdFj61qv/wjez6xrb4E7ks7hC&#10;zxJnzywxf3bzDVBLAQIUABQAAAAIAIdO4kADFSnaBQEAAC0CAAATAAAAAAAAAAEAIAAAAIMHAABb&#10;Q29udGVudF9UeXBlc10ueG1sUEsBAhQACgAAAAAAh07iQAAAAAAAAAAAAAAAAAYAAAAAAAAAAAAQ&#10;AAAATgUAAF9yZWxzL1BLAQIUABQAAAAIAIdO4kCKFGY80QAAAJQBAAALAAAAAAAAAAEAIAAAAHIF&#10;AABfcmVscy8ucmVsc1BLAQIUAAoAAAAAAIdO4kAAAAAAAAAAAAAAAAAEAAAAAAAAAAAAEAAAAAAA&#10;AABkcnMvUEsBAhQACgAAAAAAh07iQAAAAAAAAAAAAAAAAAoAAAAAAAAAAAAQAAAAbAYAAGRycy9f&#10;cmVscy9QSwECFAAUAAAACACHTuJAeRi8nbgAAAAhAQAAGQAAAAAAAAABACAAAACUBgAAZHJzL19y&#10;ZWxzL2Uyb0RvYy54bWwucmVsc1BLAQIUABQAAAAIAIdO4kC5/BSz2gAAAAsBAAAPAAAAAAAAAAEA&#10;IAAAACIAAABkcnMvZG93bnJldi54bWxQSwECFAAUAAAACACHTuJAowhIn5EBAACIAwAADgAAAAAA&#10;AAABACAAAAApAQAAZHJzL2Uyb0RvYy54bWxQSwECFAAKAAAAAACHTuJAAAAAAAAAAAAAAAAACAAA&#10;AAAAAAAAABAAAADmAgAAZHJzL2luay9QSwECFAAUAAAACACHTuJASDye/RQCAABPBQAAEAAAAAAA&#10;AAABACAAAAAMAwAAZHJzL2luay9pbmsxLnhtbFBLBQYAAAAACgAKAEwCAAC5CAAAAAA=&#10;">
                <v:imagedata r:id="rId80" o:title=""/>
                <o:lock v:ext="edit"/>
              </v:shape>
            </w:pict>
          </mc:Fallback>
        </mc:AlternateContent>
      </w:r>
      <w:r>
        <w:rPr>
          <w:rFonts w:asciiTheme="minorBidi" w:hAnsiTheme="minorBidi"/>
          <w:noProof/>
          <w:sz w:val="24"/>
          <w:szCs w:val="24"/>
        </w:rPr>
        <mc:AlternateContent>
          <mc:Choice Requires="wps">
            <w:drawing>
              <wp:anchor distT="0" distB="0" distL="114300" distR="114300" simplePos="0" relativeHeight="251666432" behindDoc="0" locked="0" layoutInCell="1" allowOverlap="1" wp14:anchorId="3AB228FA" wp14:editId="5FDABFC8">
                <wp:simplePos x="0" y="0"/>
                <wp:positionH relativeFrom="column">
                  <wp:posOffset>1815465</wp:posOffset>
                </wp:positionH>
                <wp:positionV relativeFrom="paragraph">
                  <wp:posOffset>1020445</wp:posOffset>
                </wp:positionV>
                <wp:extent cx="65405" cy="86995"/>
                <wp:effectExtent l="57150" t="57150" r="48895" b="65405"/>
                <wp:wrapNone/>
                <wp:docPr id="1972711690" name="Ink 18"/>
                <wp:cNvGraphicFramePr/>
                <a:graphic xmlns:a="http://schemas.openxmlformats.org/drawingml/2006/main">
                  <a:graphicData uri="http://schemas.microsoft.com/office/word/2010/wordprocessingInk">
                    <w14:contentPart bwMode="auto" r:id="rId81">
                      <w14:nvContentPartPr>
                        <w14:cNvContentPartPr/>
                      </w14:nvContentPartPr>
                      <w14:xfrm>
                        <a:off x="0" y="0"/>
                        <a:ext cx="65520" cy="87120"/>
                      </w14:xfrm>
                    </w14:contentPart>
                  </a:graphicData>
                </a:graphic>
              </wp:anchor>
            </w:drawing>
          </mc:Choice>
          <mc:Fallback xmlns:wpsCustomData="http://www.wps.cn/officeDocument/2013/wpsCustomData">
            <w:pict>
              <v:shape id="Ink 18" o:spid="_x0000_s1026" o:spt="75" style="position:absolute;left:0pt;margin-left:142.95pt;margin-top:80.35pt;height:6.85pt;width:5.15pt;z-index:251666432;mso-width-relative:page;mso-height-relative:page;" coordsize="21600,21600" o:gfxdata="UEsDBAoAAAAAAIdO4kAAAAAAAAAAAAAAAAAEAAAAZHJzL1BLAwQUAAAACACHTuJAWS86itsAAAAL&#10;AQAADwAAAGRycy9kb3ducmV2LnhtbE2PzU7DMBCE75V4B2uRuLV2U5E2IU4P0EqcQBSoxG0bL0lK&#10;bIfY/Xt7lhPcdndGs98Uy7PtxJGG0HqnYTpRIMhV3rSu1vD2uh4vQISIzmDnHWm4UIBleTUqMDf+&#10;5F7ouIm14BAXctTQxNjnUoaqIYth4ntyrH36wWLkdailGfDE4baTiVKptNg6/tBgT/cNVV+bg9Ww&#10;TbPvPa5WNLMfl6f3sN4/bx8ftL65nqo7EJHO8c8Mv/iMDiUz7fzBmSA6DcniNmMrC6mag2DHTCU8&#10;7PgyzzKQZSH/dyh/AFBLAwQUAAAACACHTuJARzE0tIwBAACGAwAADgAAAGRycy9lMm9Eb2MueG1s&#10;rVPLTsMwELwj8Q+W7zR1aJs2asqBCokD0AN8gHHsxiL2Rmu3KX/Ppg9aipAQ4hLZO8nsPJTpzcbV&#10;bK0xWPAFF70+Z9orKK1fFvzl+e5qzFmI0peyBq8L/q4Dv5ldXkzbJtcpVFCXGhmR+JC3TcGrGJs8&#10;SYKqtJOhB432BBpAJyNdcZmUKFtid3WS9vujpAUsGwSlQ6DpfAfyPSP+hhCMsUrPQa2c9nHHirqW&#10;kSyFyjaBz7ZqjdEqPhkTdGQ1ec2yMbmNnydall4PJkPOXruZGAx5MpvKfImyqazaS5K/kXTm0Unr&#10;ScQn1VxGyVZov1E5qxACmNhT4JKdsW1C5Er0z7K692+dMzFQK8wV+EjuFxLjoY0t8JcVrqYI2gco&#10;qW+5ivDPbTDMbVlwvC/FUb9f3x4dLPDo63G9QNa9LyZZmgkxmlBpXjrSRgEwMe5KOoTw+JWFkGQP&#10;/cS/Mei6Zihrtik4cb93z23xehOZouFoOEwJUISMM0HHE97d94ctJy3Q6i99n947WSe/z+wDUEsD&#10;BAoAAAAAAIdO4kAAAAAAAAAAAAAAAAAIAAAAZHJzL2luay9QSwMEFAAAAAgAh07iQCkYgoZPAwAA&#10;zAsAABAAAABkcnMvaW5rL2luazEueG1stVZNb9swDL0P2H8Q1MMudmLZjuMEdXsrMGADhrUDtqPr&#10;qIlRfwS20qT/frREKVLitkO35RBLIvlIPpKyL68PdUWeeNeXbZNRNgko4U3RrspmndEfdzd+Skkv&#10;8maVV23DM/rMe3p99fHDZdk81tUS/gkgNP2wqquMboTYLqfT/X4/2UeTtltPwyCIpp+bx69f6BVa&#10;rfhD2ZQCXPb6qGgbwQ9iAFuWq4wW4hAYfcC+bXddwY14OOmKo4bo8oLftF2dC4O4yZuGV6TJa4j7&#10;JyXieQuLEvyseUdJnR8yGrJ4HqcB/OCgBAZ8+2QHQfYQS02n46i//gvqzThqFM6TOSUY1Io/DVFN&#10;Je/Ll/P/1rVb3omSH6lWxKDgmRRqLzlSZHW8b6vdUB9KnvJqB7QxSRH6ZtMRSs7xgJ1/ige8vIgH&#10;9TPBudRgejYPSJppK11cUdYcmr3emj4TPQAPx7eikyMRBmHiB5HP4ruQLWfpMpxZZcAu1nj33a7f&#10;GKz77tivUmIYU1nty5XYGMKDCTMp2WyPWW54ud6Id5kWbdXCMGCVLx7kz8pIujNtNjK4svMIJv6d&#10;P2T0Qs4ukZbqQGa+SCbQQ4QlcMnAc5FGgfcpGNaf2Fw+kjTxhisIhtFnoXrOFqHnyzP1T5in7KWl&#10;z1BI8NDD48GYBGpH5BkYaoRBCJY2aqCFSldbKlRmox5dalVfhkpkDuAlVvAKPV2cAmOg5wECMCJK&#10;mbs7i+9FmJOs/8LQjmYcBgl12dI7Tc/bMFigUcM/cqGVkNQ3udH6SDjqO/SPBuMG+g4UZWIMleNX&#10;3BtNXw6Pz9RjvlBdRhaqVYLYg/fWsPYj1YxJHEHjybUfzqQkiUMPpTNp58/i8RnQASkoWT/T9RiR&#10;nkKtikpYAEwzlX6Zp3BYJKUQhdsRaqeid4fSTCwa2OU6md8zVRWYRsWA8BBvELXDQmsN2wcMs5uX&#10;G6ot09PqYKp20XNtmLNQYFjRAqlCJVQ5YepVVSXU/nU6CGtZ6qTMjTmqimgn+bsNYe1IMnfuOV0d&#10;c/VaOb/aSposjE6XVcfoVE5zjnVwAoAsrZyNSwM7Khxh/SwepaNdWjvDq5adlBIZfbPO4FG9KPX7&#10;BHGkvR8x54vPvJjhU+bqN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B5GLyduAAAACEBAAAZAAAAZHJzL19yZWxzL2Uyb0RvYy54bWwucmVsc4XP&#10;sWrEMAwG4L3QdzDaGyUdylHiZDkOspYUbjWOkpjEsrGc0nv7euzBwQ0ahND3S23/63f1Q0lcYA1N&#10;VYMitmFyvGj4Hi9vJ1CSDU9mD0wabiTQd68v7RftJpclWV0UVRQWDWvO8RNR7EreSBUicZnMIXmT&#10;S5sWjMZuZiF8r+sPTP8N6O5MNUwa0jA1oMZbLMnP7TDPztI52MMT5wcRaA/JwV/9XlCTFsoaHG9Y&#10;qqnKoYBdi3ePdX9QSwMEFAAAAAgAh07iQAMVKdoFAQAALQIAABMAAABbQ29udGVudF9UeXBlc10u&#10;eG1slZHBTsMwEETvSPyD5StKnPaAEGrSAylHQKh8gGVvEqv22vKa0P49TtpeEKXi4IO9M29G69V6&#10;7ywbIZLxWPNFWXEGqLw22Nf8Y/tcPHBGSaKW1iPU/ADE183tzWp7CEAsu5FqPqQUHoUgNYCTVPoA&#10;mCedj06mfI29CFLtZA9iWVX3QnlMgKlIE4M3qxY6+WkT2+zz87FJBEucPR2FU1bNZQjWKJlyUzGi&#10;/pFSnBLK7Jw1NJhAd7kGF78mTJPLASffa15NNBrYm4zpRbpcQ+hIQvsvjDCWf0Omlo4K33VGQdlG&#10;arPtHcZzq0t0WPrWq//CN7PrGtvgTuSzuELPEmfPLDF/dvMNUEsBAhQAFAAAAAgAh07iQAMVKdoF&#10;AQAALQIAABMAAAAAAAAAAQAgAAAAuggAAFtDb250ZW50X1R5cGVzXS54bWxQSwECFAAKAAAAAACH&#10;TuJAAAAAAAAAAAAAAAAABgAAAAAAAAAAABAAAACFBgAAX3JlbHMvUEsBAhQAFAAAAAgAh07iQIoU&#10;ZjzRAAAAlAEAAAsAAAAAAAAAAQAgAAAAqQYAAF9yZWxzLy5yZWxzUEsBAhQACgAAAAAAh07iQAAA&#10;AAAAAAAAAAAAAAQAAAAAAAAAAAAQAAAAAAAAAGRycy9QSwECFAAKAAAAAACHTuJAAAAAAAAAAAAA&#10;AAAACgAAAAAAAAAAABAAAACjBwAAZHJzL19yZWxzL1BLAQIUABQAAAAIAIdO4kB5GLyduAAAACEB&#10;AAAZAAAAAAAAAAEAIAAAAMsHAABkcnMvX3JlbHMvZTJvRG9jLnhtbC5yZWxzUEsBAhQAFAAAAAgA&#10;h07iQFkvOorbAAAACwEAAA8AAAAAAAAAAQAgAAAAIgAAAGRycy9kb3ducmV2LnhtbFBLAQIUABQA&#10;AAAIAIdO4kBHMTS0jAEAAIYDAAAOAAAAAAAAAAEAIAAAACoBAABkcnMvZTJvRG9jLnhtbFBLAQIU&#10;AAoAAAAAAIdO4kAAAAAAAAAAAAAAAAAIAAAAAAAAAAAAEAAAAOICAABkcnMvaW5rL1BLAQIUABQA&#10;AAAIAIdO4kApGIKGTwMAAMwLAAAQAAAAAAAAAAEAIAAAAAgDAABkcnMvaW5rL2luazEueG1sUEsF&#10;BgAAAAAKAAoATAIAAPAJAAAAAA==&#10;">
                <v:imagedata r:id="rId82" o:title=""/>
                <o:lock v:ext="edit"/>
              </v:shape>
            </w:pict>
          </mc:Fallback>
        </mc:AlternateContent>
      </w:r>
      <w:r>
        <w:rPr>
          <w:rFonts w:asciiTheme="minorBidi" w:hAnsiTheme="minorBidi"/>
          <w:noProof/>
          <w:sz w:val="24"/>
          <w:szCs w:val="24"/>
        </w:rPr>
        <mc:AlternateContent>
          <mc:Choice Requires="wps">
            <w:drawing>
              <wp:anchor distT="0" distB="0" distL="114300" distR="114300" simplePos="0" relativeHeight="251665408" behindDoc="0" locked="0" layoutInCell="1" allowOverlap="1" wp14:anchorId="65FC4800" wp14:editId="1A631ADE">
                <wp:simplePos x="0" y="0"/>
                <wp:positionH relativeFrom="column">
                  <wp:posOffset>1828800</wp:posOffset>
                </wp:positionH>
                <wp:positionV relativeFrom="paragraph">
                  <wp:posOffset>1019175</wp:posOffset>
                </wp:positionV>
                <wp:extent cx="23495" cy="23495"/>
                <wp:effectExtent l="57150" t="57150" r="52705" b="71755"/>
                <wp:wrapNone/>
                <wp:docPr id="2054292243" name="Ink 17"/>
                <wp:cNvGraphicFramePr/>
                <a:graphic xmlns:a="http://schemas.openxmlformats.org/drawingml/2006/main">
                  <a:graphicData uri="http://schemas.microsoft.com/office/word/2010/wordprocessingInk">
                    <w14:contentPart bwMode="auto" r:id="rId83">
                      <w14:nvContentPartPr>
                        <w14:cNvContentPartPr/>
                      </w14:nvContentPartPr>
                      <w14:xfrm rot="-464449">
                        <a:off x="0" y="0"/>
                        <a:ext cx="23495" cy="23495"/>
                      </w14:xfrm>
                    </w14:contentPart>
                  </a:graphicData>
                </a:graphic>
              </wp:anchor>
            </w:drawing>
          </mc:Choice>
          <mc:Fallback xmlns:wpsCustomData="http://www.wps.cn/officeDocument/2013/wpsCustomData">
            <w:pict>
              <v:shape id="Ink 17" o:spid="_x0000_s1026" o:spt="75" style="position:absolute;left:0pt;margin-left:144pt;margin-top:80.25pt;height:1.85pt;width:1.85pt;z-index:251665408;mso-width-relative:page;mso-height-relative:page;" coordsize="21600,21600" o:gfxdata="UEsDBAoAAAAAAIdO4kAAAAAAAAAAAAAAAAAEAAAAZHJzL1BLAwQUAAAACACHTuJAP8Sm0toAAAAL&#10;AQAADwAAAGRycy9kb3ducmV2LnhtbE2PwU7DMBBE70j8g7VI3KidSE3TEKeHVnCpQFD4ADd2nbTx&#10;OordpOXrWU70uDOj2Tfl6uI6NpohtB4lJDMBzGDtdYtWwvfXy1MOLESFWnUejYSrCbCq7u9KVWg/&#10;4acZd9EyKsFQKAlNjH3Beagb41SY+d4geQc/OBXpHCzXg5qo3HU8FSLjTrVIHxrVm3Vj6tPu7CR8&#10;/Lxu3ye74clmjPY6Xy+3x9OblI8PiXgGFs0l/ofhD5/QoSKmvT+jDqyTkOY5bYlkZGIOjBLpcpEB&#10;25OyEAnwquS3G6pfUEsDBBQAAAAIAIdO4kDLdcN7iAEAAIYDAAAOAAAAZHJzL2Uyb0RvYy54bWyt&#10;U8lOwzAQvSPxD5bvNAulS9SUAxUSB6AH+ADj2I1F7InGblP+nknTHSFViEtk+yVv3uJM7te2YiuF&#10;3oDLedKLOVNOQmHcIufvb483I858EK4QFTiV8y/l+f30+mrS1JlKoYSqUMiIxPmsqXNehlBnUeRl&#10;qazwPaiVI1ADWhFoi4uoQNEQu62iNI4HUQNY1AhSeU+nsw7kW0a8hBC0NlLNQC6tcqFjRVWJQJZ8&#10;aWrPpxu1WisZXrX2KrCKvA6HI3Ib9isalowHozvOPnaraDoR2QJFXRq5lSQukXTm0QrjSMSeaiaC&#10;YEs0P6iskQgedOhJsFFnbJMQuUris6ye3GfrLOnLJWYSXCD3c4Fh18YG+MsIW1EEzTMU1LdYBvjn&#10;Nhhmpsg5PhXJQb9bPRwczPHg62U1R9a+n8Z3/XScpv1bzpywpI0CYMmQU0m7EF5OWQiJttBv/GuN&#10;tm2GsmbrnNOF+Gqfm+LVOjBJh+ltf0y3QhLSLY94u+93U45aoNEnfR/vW1lHv8/0G1BLAwQKAAAA&#10;AACHTuJAAAAAAAAAAAAAAAAACAAAAGRycy9pbmsvUEsDBBQAAAAIAIdO4kDA//uICAIAADoFAAAQ&#10;AAAAZHJzL2luay9pbmsxLnhtbLVUS2/bMAy+D9h/ENRDL1Esyc6jRp3eAgzYgGFtge3o2kos1JYD&#10;WXn034+mZSXF0suw+WCLFPmR/Ej6/uHU1OSgbKdbk1Ex5ZQoU7SlNtuMPj+t2ZKSzuWmzOvWqIy+&#10;qY4+rD5/utfmtalTeBNAMF1/auqMVs7t0ig6Ho/TYzxt7TaSnMfRF/P67Stdea9SbbTRDkJ2o6po&#10;jVMn14Olusxo4U482AP2Y7u3hQrXvcYWZwtn80KtW9vkLiBWuTGqJiZvIO+flLi3HRw0xNkqS0mT&#10;nzIqRbJIlhweUGhggF1q9pBkB7k0NLqO+uu/oK6vo8ZyMV9Q4pMq1aHPKkLe04/r/27bnbJOqzPV&#10;AzH+4o0Ug4wcDWRZ1bX1vu8PJYe83gNtAinysUV0hZI/8YCdf4oHvHyIB/0Lyb2nxpd3yYMnLYzV&#10;2FynGwXD3uzCnLkOgHv1o7O4EpLLOeMxE8mTFOlsmYrFRRv8FI94L3bfVQHrxZ7nFW8CY0NVR126&#10;KhDOpyKUdMn2Nc9K6W3l/sq1aOsWlsF3+WaDz0VFGC6M2ZXFxckjvvAfapPRG9xdgp6DAiuX8HPh&#10;nHB8i+SOy8lt3Au3co4fPoHtW/RHysQMv3wyQ3uGFoRPmEQXMoJNxHCf3PX2YCAkHuTSyyxBByYT&#10;r4gxDTaKLMaIJB4VKLJ4SJO/269AAwzO6j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AoAAAAAAIdO4kAAAAAAAAAAAAAAAAAKAAAA&#10;ZHJzL19yZWxzL1BLAwQUAAAACACHTuJAeRi8nbgAAAAhAQAAGQAAAGRycy9fcmVscy9lMm9Eb2Mu&#10;eG1sLnJlbHOFz7FqxDAMBuC90Hcw2hslHcpR4mQ5DrKWFG41jpKYxLKxnNJ7+3rswcENGoTQ90tt&#10;/+t39UNJXGANTVWDIrZhcrxo+B4vbydQkg1PZg9MGm4k0HevL+0X7SaXJVldFFUUFg1rzvETUexK&#10;3kgVInGZzCF5k0ubFozGbmYhfK/rD0z/DejuTDVMGtIwNaDGWyzJz+0wz87SOdjDE+cHEWgPycFf&#10;/V5QkxbKGhxvWKqpyqGAXYt3j3V/UEsDBBQAAAAIAIdO4kADFSnaBQEAAC0CAAATAAAAW0NvbnRl&#10;bnRfVHlwZXNdLnhtbJWRwU7DMBBE70j8g+UrSpz2gBBq0gMpR0CofIBlbxKr9trymtD+PU7aXhCl&#10;4uCDvTNvRuvVeu8sGyGS8VjzRVlxBqi8NtjX/GP7XDxwRkmiltYj1PwAxNfN7c1qewhALLuRaj6k&#10;FB6FIDWAk1T6AJgnnY9OpnyNvQhS7WQPYllV90J5TICpSBODN6sWOvlpE9vs8/OxSQRLnD0dhVNW&#10;zWUI1iiZclMxov6RUpwSyuycNTSYQHe5Bhe/JkyTywEn32teTTQa2JuM6UW6XEPoSEL7L4wwln9D&#10;ppaOCt91RkHZRmqz7R3Gc6tLdFj61qv/wjez6xrb4E7ks7hCzxJnzywxf3bzDVBLAQIUABQAAAAI&#10;AIdO4kADFSnaBQEAAC0CAAATAAAAAAAAAAEAIAAAAG4HAABbQ29udGVudF9UeXBlc10ueG1sUEsB&#10;AhQACgAAAAAAh07iQAAAAAAAAAAAAAAAAAYAAAAAAAAAAAAQAAAAOQUAAF9yZWxzL1BLAQIUABQA&#10;AAAIAIdO4kCKFGY80QAAAJQBAAALAAAAAAAAAAEAIAAAAF0FAABfcmVscy8ucmVsc1BLAQIUAAoA&#10;AAAAAIdO4kAAAAAAAAAAAAAAAAAEAAAAAAAAAAAAEAAAAAAAAABkcnMvUEsBAhQACgAAAAAAh07i&#10;QAAAAAAAAAAAAAAAAAoAAAAAAAAAAAAQAAAAVwYAAGRycy9fcmVscy9QSwECFAAUAAAACACHTuJA&#10;eRi8nbgAAAAhAQAAGQAAAAAAAAABACAAAAB/BgAAZHJzL19yZWxzL2Uyb0RvYy54bWwucmVsc1BL&#10;AQIUABQAAAAIAIdO4kA/xKbS2gAAAAsBAAAPAAAAAAAAAAEAIAAAACIAAABkcnMvZG93bnJldi54&#10;bWxQSwECFAAUAAAACACHTuJAy3XDe4gBAACGAwAADgAAAAAAAAABACAAAAApAQAAZHJzL2Uyb0Rv&#10;Yy54bWxQSwECFAAKAAAAAACHTuJAAAAAAAAAAAAAAAAACAAAAAAAAAAAABAAAADdAgAAZHJzL2lu&#10;ay9QSwECFAAUAAAACACHTuJAwP/7iAgCAAA6BQAAEAAAAAAAAAABACAAAAADAwAAZHJzL2luay9p&#10;bmsxLnhtbFBLBQYAAAAACgAKAEwCAACkCAAAAAA=&#10;">
                <v:imagedata r:id="rId84" o:title=""/>
                <o:lock v:ext="edit"/>
              </v:shape>
            </w:pict>
          </mc:Fallback>
        </mc:AlternateContent>
      </w:r>
      <w:r>
        <w:rPr>
          <w:rFonts w:asciiTheme="minorBidi" w:hAnsiTheme="minorBidi"/>
          <w:noProof/>
          <w:sz w:val="24"/>
          <w:szCs w:val="24"/>
        </w:rPr>
        <mc:AlternateContent>
          <mc:Choice Requires="wps">
            <w:drawing>
              <wp:anchor distT="0" distB="0" distL="114300" distR="114300" simplePos="0" relativeHeight="251664384" behindDoc="0" locked="0" layoutInCell="1" allowOverlap="1" wp14:anchorId="670A7B95" wp14:editId="1833E12B">
                <wp:simplePos x="0" y="0"/>
                <wp:positionH relativeFrom="column">
                  <wp:posOffset>1864360</wp:posOffset>
                </wp:positionH>
                <wp:positionV relativeFrom="paragraph">
                  <wp:posOffset>1094105</wp:posOffset>
                </wp:positionV>
                <wp:extent cx="635" cy="12700"/>
                <wp:effectExtent l="57150" t="57150" r="57150" b="63500"/>
                <wp:wrapNone/>
                <wp:docPr id="84839823" name="Ink 15"/>
                <wp:cNvGraphicFramePr/>
                <a:graphic xmlns:a="http://schemas.openxmlformats.org/drawingml/2006/main">
                  <a:graphicData uri="http://schemas.microsoft.com/office/word/2010/wordprocessingInk">
                    <w14:contentPart bwMode="auto" r:id="rId85">
                      <w14:nvContentPartPr>
                        <w14:cNvContentPartPr/>
                      </w14:nvContentPartPr>
                      <w14:xfrm>
                        <a:off x="0" y="0"/>
                        <a:ext cx="360" cy="12960"/>
                      </w14:xfrm>
                    </w14:contentPart>
                  </a:graphicData>
                </a:graphic>
              </wp:anchor>
            </w:drawing>
          </mc:Choice>
          <mc:Fallback xmlns:wpsCustomData="http://www.wps.cn/officeDocument/2013/wpsCustomData">
            <w:pict>
              <v:shape id="Ink 15" o:spid="_x0000_s1026" o:spt="75" style="position:absolute;left:0pt;margin-left:146.8pt;margin-top:86.15pt;height:1pt;width:0.05pt;z-index:251664384;mso-width-relative:page;mso-height-relative:page;" coordsize="21600,21600" o:gfxdata="UEsDBAoAAAAAAIdO4kAAAAAAAAAAAAAAAAAEAAAAZHJzL1BLAwQUAAAACACHTuJA24VrLNsAAAAL&#10;AQAADwAAAGRycy9kb3ducmV2LnhtbE2PzU7DMBCE70i8g7VIXFBrJ5FKG+L0ABRxoqIFwdGJTRKw&#10;18F2f+DpWU5w3JlPszPV8ugs25sQB48SsqkAZrD1esBOwtN2NZkDi0mhVtajkfBlIizr05NKldof&#10;8NHsN6ljFIKxVBL6lMaS89j2xqk49aNB8t58cCrRGTqugzpQuLM8F2LGnRqQPvRqNNe9aT82Oyfh&#10;/eJzfXejv+PKPodXff/wwm+bQsrzs0xcAUvmmP5g+K1P1aGmTo3foY7MSsgXxYxQMi7zAhgRhRA0&#10;piFlni2A1xX/v6H+AVBLAwQUAAAACACHTuJAPtIAeosBAACCAwAADgAAAGRycy9lMm9Eb2MueG1s&#10;rVPLTsMwELwj8Q+W7zSvQkPUtAcqpB6AHuADjGM3FrE3WrtN+Xs2fdAWhIQQF8vesWdndpLxdGMb&#10;tlboDbiSJ4OYM+UkVMYtS/7yfH+Vc+aDcJVowKmSvyvPp5PLi3HXFiqFGppKISMS54uuLXkdQltE&#10;kZe1ssIPoFWOQA1oRaAjLqMKRUfstonSOL6JOsCqRZDKe6rOdiDfM+JvCEFrI9UM5MoqF3asqBoR&#10;yJKvTev5ZKtWayXDk9ZeBdaQ19EoJ7fhc0fN0lEWX3P2WvIsHhIaTcaiWKJoayP3ksRvJH3xaIVx&#10;JOKTaiaCYCs036iskQgedBhIsNHO2HZC5CqJv8xq7t56Z8lQrrCQ4AK5XwgMhzS2wF9a2IZG0D1A&#10;RXmLVYB/ToNhYaqS47xKjvrd+u7oYIFHX4/rBbL+fj7Ms9s8zThzwpIyss+S6z6iwwgezzkIifbQ&#10;T+wbjbbPhSbNNiWnz+G9X7exq01gkorZDZUl1ZP0lrYnrLvXhx4nCVDjs6xPz72ok19n8gFQSwME&#10;CgAAAAAAh07iQAAAAAAAAAAAAAAAAAgAAABkcnMvaW5rL1BLAwQUAAAACACHTuJAmGgxGtwBAADS&#10;BAAAEAAAAGRycy9pbmsvaW5rMS54bWy1lMFuozAQhu8r7TtY00MuAQykTRaV9BZppVZabbtSe6Tg&#10;BKtgR8aE5O13MI5DtfRSdTkkeGz/nvnmN7d3x7oiB6YaLkUKoU+BMJHLgotdCn+eNt4KSKMzUWSV&#10;FCyFE2vgbv392y0Xb3WV4C9BBdH0b3WVQqn1PgmCruv8Lval2gURpXHwU7w93MPa7irYlguu8cjm&#10;HMql0Oyoe7GEFynk+kjdetR+lK3KmZvuIyq/rNAqy9lGqjrTTrHMhGAVEVmNeT8D0ac9vnA8Z8cU&#10;kDo7phCFi+ViRfHBAEcC3jjSYpIN5lJDMK368l9UN9OqcbS8WQKxSRXs0GcVGO7Jx/X/UnLPlObs&#10;gnoAYydOJB/GhtEAS7FGVm3fHyCHrGoRW2gQ2bPDYALJv3pI50v1kMuHetg/l9x7NLa8MQcLzdnq&#10;3FzNa4Zmr/fOZ7pB4T78qJW5EhGNbjwae+HiKQqT61UShqM2WBef9V5V25RO61Vd/GpmHLGhqo4X&#10;unTAqR+6ksa0p3aWjO9K/amtuawkXgbb5auteUYVmeOczSYurnEesYX/ZtsUrszdJWbnEDCVUx8t&#10;ROJr8/djFdP5zIRmXtyHZnQOZgyeWQJ0bobDLDmP8AuFKvSd71162ND1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CgAAAAAAh07i&#10;QAAAAAAAAAAAAAAAAAoAAABkcnMvX3JlbHMvUEsDBBQAAAAIAIdO4kB5GLyduAAAACEBAAAZAAAA&#10;ZHJzL19yZWxzL2Uyb0RvYy54bWwucmVsc4XPsWrEMAwG4L3QdzDaGyUdylHiZDkOspYUbjWOkpjE&#10;srGc0nv7euzBwQ0ahND3S23/63f1Q0lcYA1NVYMitmFyvGj4Hi9vJ1CSDU9mD0wabiTQd68v7Rft&#10;JpclWV0UVRQWDWvO8RNR7EreSBUicZnMIXmTS5sWjMZuZiF8r+sPTP8N6O5MNUwa0jA1oMZbLMnP&#10;7TDPztI52MMT5wcRaA/JwV/9XlCTFsoaHG9YqqnKoYBdi3ePdX9QSwMEFAAAAAgAh07iQAMVKdoF&#10;AQAALQIAABMAAABbQ29udGVudF9UeXBlc10ueG1slZHBTsMwEETvSPyD5StKnPaAEGrSAylHQKh8&#10;gGVvEqv22vKa0P49TtpeEKXi4IO9M29G69V67ywbIZLxWPNFWXEGqLw22Nf8Y/tcPHBGSaKW1iPU&#10;/ADE183tzWp7CEAsu5FqPqQUHoUgNYCTVPoAmCedj06mfI29CFLtZA9iWVX3QnlMgKlIE4M3qxY6&#10;+WkT2+zz87FJBEucPR2FU1bNZQjWKJlyUzGi/pFSnBLK7Jw1NJhAd7kGF78mTJPLASffa15NNBrY&#10;m4zpRbpcQ+hIQvsvjDCWf0Omlo4K33VGQdlGarPtHcZzq0t0WPrWq//CN7PrGtvgTuSzuELPEmfP&#10;LDF/dvMNUEsBAhQAFAAAAAgAh07iQAMVKdoFAQAALQIAABMAAAAAAAAAAQAgAAAARgcAAFtDb250&#10;ZW50X1R5cGVzXS54bWxQSwECFAAKAAAAAACHTuJAAAAAAAAAAAAAAAAABgAAAAAAAAAAABAAAAAR&#10;BQAAX3JlbHMvUEsBAhQAFAAAAAgAh07iQIoUZjzRAAAAlAEAAAsAAAAAAAAAAQAgAAAANQUAAF9y&#10;ZWxzLy5yZWxzUEsBAhQACgAAAAAAh07iQAAAAAAAAAAAAAAAAAQAAAAAAAAAAAAQAAAAAAAAAGRy&#10;cy9QSwECFAAKAAAAAACHTuJAAAAAAAAAAAAAAAAACgAAAAAAAAAAABAAAAAvBgAAZHJzL19yZWxz&#10;L1BLAQIUABQAAAAIAIdO4kB5GLyduAAAACEBAAAZAAAAAAAAAAEAIAAAAFcGAABkcnMvX3JlbHMv&#10;ZTJvRG9jLnhtbC5yZWxzUEsBAhQAFAAAAAgAh07iQNuFayzbAAAACwEAAA8AAAAAAAAAAQAgAAAA&#10;IgAAAGRycy9kb3ducmV2LnhtbFBLAQIUABQAAAAIAIdO4kA+0gB6iwEAAIIDAAAOAAAAAAAAAAEA&#10;IAAAACoBAABkcnMvZTJvRG9jLnhtbFBLAQIUAAoAAAAAAIdO4kAAAAAAAAAAAAAAAAAIAAAAAAAA&#10;AAAAEAAAAOECAABkcnMvaW5rL1BLAQIUABQAAAAIAIdO4kCYaDEa3AEAANIEAAAQAAAAAAAAAAEA&#10;IAAAAAcDAABkcnMvaW5rL2luazEueG1sUEsFBgAAAAAKAAoATAIAAHwIAAAAAA==&#10;">
                <v:imagedata r:id="rId86" o:title=""/>
                <o:lock v:ext="edit"/>
              </v:shape>
            </w:pict>
          </mc:Fallback>
        </mc:AlternateContent>
      </w:r>
      <w:r>
        <w:rPr>
          <w:rFonts w:asciiTheme="minorBidi" w:hAnsiTheme="minorBidi"/>
          <w:noProof/>
          <w:sz w:val="24"/>
          <w:szCs w:val="24"/>
        </w:rPr>
        <mc:AlternateContent>
          <mc:Choice Requires="wps">
            <w:drawing>
              <wp:anchor distT="0" distB="0" distL="114300" distR="114300" simplePos="0" relativeHeight="251663360" behindDoc="0" locked="0" layoutInCell="1" allowOverlap="1" wp14:anchorId="1951E087" wp14:editId="751F4D78">
                <wp:simplePos x="0" y="0"/>
                <wp:positionH relativeFrom="column">
                  <wp:posOffset>1825625</wp:posOffset>
                </wp:positionH>
                <wp:positionV relativeFrom="paragraph">
                  <wp:posOffset>1062355</wp:posOffset>
                </wp:positionV>
                <wp:extent cx="78105" cy="22225"/>
                <wp:effectExtent l="46990" t="67310" r="64135" b="64135"/>
                <wp:wrapNone/>
                <wp:docPr id="827367774" name="Ink 14"/>
                <wp:cNvGraphicFramePr/>
                <a:graphic xmlns:a="http://schemas.openxmlformats.org/drawingml/2006/main">
                  <a:graphicData uri="http://schemas.microsoft.com/office/word/2010/wordprocessingInk">
                    <w14:contentPart bwMode="auto" r:id="rId87">
                      <w14:nvContentPartPr>
                        <w14:cNvContentPartPr/>
                      </w14:nvContentPartPr>
                      <w14:xfrm rot="4117623">
                        <a:off x="0" y="0"/>
                        <a:ext cx="78105" cy="22225"/>
                      </w14:xfrm>
                    </w14:contentPart>
                  </a:graphicData>
                </a:graphic>
              </wp:anchor>
            </w:drawing>
          </mc:Choice>
          <mc:Fallback xmlns:wpsCustomData="http://www.wps.cn/officeDocument/2013/wpsCustomData">
            <w:pict>
              <v:shape id="Ink 14" o:spid="_x0000_s1026" o:spt="75" style="position:absolute;left:0pt;margin-left:143.75pt;margin-top:83.65pt;height:1.75pt;width:6.15pt;z-index:251663360;mso-width-relative:page;mso-height-relative:page;" coordsize="21600,21600" o:gfxdata="UEsDBAoAAAAAAIdO4kAAAAAAAAAAAAAAAAAEAAAAZHJzL1BLAwQUAAAACACHTuJAn/j0pNcAAAAL&#10;AQAADwAAAGRycy9kb3ducmV2LnhtbE2PsU7DMBCGdyTewTokNmq3pU4JcTqgsrCgBoaOTnIkEfY5&#10;xG5a3p5jgvHu//Tfd8Xu4p2YcYpDIAPLhQKB1IR2oM7A+9vz3RZETJZa6wKhgW+MsCuvrwqbt+FM&#10;B5yr1AkuoZhbA31KYy5lbHr0Ni7CiMTZR5i8TTxOnWwne+Zy7+RKKS29HYgv9HbEpx6bz+rkDei9&#10;ez3S/svXL4eNxkrdezcfjbm9WapHEAkv6Q+GX31Wh5Kd6nCiNgpnYLXNNoxyoLM1CCbWSmcgat5k&#10;+gFkWcj/P5Q/UEsDBBQAAAAIAIdO4kAPnMj4jwEAAIUDAAAOAAAAZHJzL2Uyb0RvYy54bWytU8tO&#10;wzAQvCPxD5bvNI8+UqKmHKiQegB6gA8wjt1YxN5o7Tbl79mkLS0gJITIIbI9yezMznp2s7M12yr0&#10;BlzBk0HMmXISSuPWBX9+uruacuaDcKWowamCvynPb+aXF7O2yVUKFdSlQkYkzudtU/AqhCaPIi8r&#10;ZYUfQKMcgRrQikBbXEclipbYbR2lcTyJWsCyQZDKezpd7EF+YMTfEILWRqoFyI1VLuxZUdUikCVf&#10;mcbzea9WayXDo9ZeBVaT1yybktvwsaJi6SQejjl7oVV8PR7zaD4T+RpFUxl5kCR+I+mLRyuMIxEf&#10;VAsRBNug+UZljUTwoMNAgo32xvoOkask/tKrpXvtnCUjucFcggvkfiUwHNPogb+UsDW1oL2HkvIW&#10;mwD/nAbD3JQFx2WZnPS77e3JwQpPvh62K2Td99M0G06yLBtx5oQlaeSfJaMuo2MPHj6TEBIdoJ/o&#10;dxptFwy1mu0KTvPw1r373NUuMEmH2TSJaSgkISk9/VQceff/H3dnIVDpT3Gf7ztZZ7dn/g5QSwME&#10;CgAAAAAAh07iQAAAAAAAAAAAAAAAAAgAAABkcnMvaW5rL1BLAwQUAAAACACHTuJA4VV+3OMBAADg&#10;BAAAEAAAAGRycy9pbmsvaW5rMS54bWy1U8GOmzAQvVfqP1jeQy4BbJMNKVqyt0iVWqnqbqX2yIIT&#10;rAU7MiYkf9/BOA6rspeq9QHsZ8+bmTczD4/npkYnrluhZIZpSDDislClkIcM/3jeBRuMWpPLMq+V&#10;5Bm+8BY/bj9+eBDytalT+CJgkO2wa+oMV8Yc0yjq+z7s41DpQ8QIiaPP8vXrF7x1ViXfCykMuGyv&#10;UKGk4WczkKWizHBhzsS/B+4n1emC++sB0cXthdF5wXdKN7nxjFUuJa+RzBuI+ydG5nKEjQA/B64x&#10;avJzhhldJasNgQWAAAWCKdJBkC3E0uBonvXXf2HdzbPGLFknGLmgSn4aooqs7un7+X/T6si1Efwm&#10;9SiMu7igYjxbjUaxNG9V3Q31weiU1x3IRq1EzjeNZiT5kw/U+ad8oMu7fFA/H9xbaVx6Ux2caL6t&#10;rsU1ouHQ7M3R95lpgXiAn4y2I8EIWwckDujqmdH0fpOST5MyuC6+8r3orq0814u+9au98YqNWfWi&#10;NJUXnITUpzRVe86y4uJQmb8yLVStYBhcle/2dk0ysu58m80Mru085BL/zvcZvrOzi6zlCNjMGSMh&#10;NBFK7u2PblaMLhcBS4bjIhjhBVnigK7tEzxCmCzZCFxNyTKJByNng8ibKfDBQnm3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AoA&#10;AAAAAIdO4kAAAAAAAAAAAAAAAAAKAAAAZHJzL19yZWxzL1BLAwQUAAAACACHTuJAeRi8nbgAAAAh&#10;AQAAGQAAAGRycy9fcmVscy9lMm9Eb2MueG1sLnJlbHOFz7FqxDAMBuC90Hcw2hslHcpR4mQ5DrKW&#10;FG41jpKYxLKxnNJ7+3rswcENGoTQ90tt/+t39UNJXGANTVWDIrZhcrxo+B4vbydQkg1PZg9MGm4k&#10;0HevL+0X7SaXJVldFFUUFg1rzvETUexK3kgVInGZzCF5k0ubFozGbmYhfK/rD0z/DejuTDVMGtIw&#10;NaDGWyzJz+0wz87SOdjDE+cHEWgPycFf/V5QkxbKGhxvWKqpyqGAXYt3j3V/UEsDBBQAAAAIAIdO&#10;4kADFSnaBQEAAC0CAAATAAAAW0NvbnRlbnRfVHlwZXNdLnhtbJWRwU7DMBBE70j8g+UrSpz2gBBq&#10;0gMpR0CofIBlbxKr9trymtD+PU7aXhCl4uCDvTNvRuvVeu8sGyGS8VjzRVlxBqi8NtjX/GP7XDxw&#10;RkmiltYj1PwAxNfN7c1qewhALLuRaj6kFB6FIDWAk1T6AJgnnY9OpnyNvQhS7WQPYllV90J5TICp&#10;SBODN6sWOvlpE9vs8/OxSQRLnD0dhVNWzWUI1iiZclMxov6RUpwSyuycNTSYQHe5Bhe/JkyTywEn&#10;32teTTQa2JuM6UW6XEPoSEL7L4wwln9DppaOCt91RkHZRmqz7R3Gc6tLdFj61qv/wjez6xrb4E7k&#10;s7hCzxJnzywxf3bzDVBLAQIUABQAAAAIAIdO4kADFSnaBQEAAC0CAAATAAAAAAAAAAEAIAAAAE0H&#10;AABbQ29udGVudF9UeXBlc10ueG1sUEsBAhQACgAAAAAAh07iQAAAAAAAAAAAAAAAAAYAAAAAAAAA&#10;AAAQAAAAGAUAAF9yZWxzL1BLAQIUABQAAAAIAIdO4kCKFGY80QAAAJQBAAALAAAAAAAAAAEAIAAA&#10;ADwFAABfcmVscy8ucmVsc1BLAQIUAAoAAAAAAIdO4kAAAAAAAAAAAAAAAAAEAAAAAAAAAAAAEAAA&#10;AAAAAABkcnMvUEsBAhQACgAAAAAAh07iQAAAAAAAAAAAAAAAAAoAAAAAAAAAAAAQAAAANgYAAGRy&#10;cy9fcmVscy9QSwECFAAUAAAACACHTuJAeRi8nbgAAAAhAQAAGQAAAAAAAAABACAAAABeBgAAZHJz&#10;L19yZWxzL2Uyb0RvYy54bWwucmVsc1BLAQIUABQAAAAIAIdO4kCf+PSk1wAAAAsBAAAPAAAAAAAA&#10;AAEAIAAAACIAAABkcnMvZG93bnJldi54bWxQSwECFAAUAAAACACHTuJAD5zI+I8BAACFAwAADgAA&#10;AAAAAAABACAAAAAmAQAAZHJzL2Uyb0RvYy54bWxQSwECFAAKAAAAAACHTuJAAAAAAAAAAAAAAAAA&#10;CAAAAAAAAAAAABAAAADhAgAAZHJzL2luay9QSwECFAAUAAAACACHTuJA4VV+3OMBAADgBAAAEAAA&#10;AAAAAAABACAAAAAHAwAAZHJzL2luay9pbmsxLnhtbFBLBQYAAAAACgAKAEwCAACDCAAAAAA=&#10;">
                <v:imagedata r:id="rId88" o:title=""/>
                <o:lock v:ext="edit"/>
              </v:shape>
            </w:pict>
          </mc:Fallback>
        </mc:AlternateContent>
      </w:r>
      <w:r>
        <w:rPr>
          <w:rFonts w:asciiTheme="minorBidi" w:hAnsiTheme="minorBidi"/>
          <w:noProof/>
          <w:sz w:val="24"/>
          <w:szCs w:val="24"/>
        </w:rPr>
        <w:drawing>
          <wp:inline distT="0" distB="0" distL="0" distR="0" wp14:anchorId="4CEBD7CC" wp14:editId="0EC299D5">
            <wp:extent cx="5760720" cy="2621915"/>
            <wp:effectExtent l="0" t="0" r="0" b="6985"/>
            <wp:docPr id="691871138" name="Picture 3" descr="Localisation géographique de la station de Zarife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871138" name="Picture 3" descr="Localisation géographique de la station de Zarifet "/>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a:xfrm>
                      <a:off x="0" y="0"/>
                      <a:ext cx="5760720" cy="2621915"/>
                    </a:xfrm>
                    <a:prstGeom prst="rect">
                      <a:avLst/>
                    </a:prstGeom>
                    <a:noFill/>
                    <a:ln>
                      <a:noFill/>
                    </a:ln>
                  </pic:spPr>
                </pic:pic>
              </a:graphicData>
            </a:graphic>
          </wp:inline>
        </w:drawing>
      </w:r>
    </w:p>
    <w:p w14:paraId="62354EE8" w14:textId="467CD47F" w:rsidR="00502BB2" w:rsidRDefault="0069123E">
      <w:pPr>
        <w:pStyle w:val="Caption"/>
        <w:jc w:val="center"/>
        <w:rPr>
          <w:rFonts w:asciiTheme="minorBidi" w:hAnsiTheme="minorBidi"/>
          <w:b/>
          <w:bCs/>
          <w:sz w:val="24"/>
          <w:szCs w:val="24"/>
        </w:rPr>
      </w:pPr>
      <w:bookmarkStart w:id="66" w:name="_Toc225723030"/>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26</w:t>
      </w:r>
      <w:r>
        <w:rPr>
          <w:rFonts w:asciiTheme="minorBidi" w:hAnsiTheme="minorBidi"/>
          <w:b/>
          <w:bCs/>
          <w:sz w:val="24"/>
          <w:szCs w:val="24"/>
        </w:rPr>
        <w:fldChar w:fldCharType="end"/>
      </w:r>
      <w:r>
        <w:rPr>
          <w:rFonts w:asciiTheme="minorBidi" w:hAnsiTheme="minorBidi"/>
          <w:sz w:val="24"/>
          <w:szCs w:val="24"/>
        </w:rPr>
        <w:t xml:space="preserve"> : Figure représentatif de la région de Tlemcen (</w:t>
      </w:r>
      <w:proofErr w:type="spellStart"/>
      <w:r>
        <w:rPr>
          <w:rFonts w:asciiTheme="minorBidi" w:hAnsiTheme="minorBidi"/>
          <w:b/>
          <w:bCs/>
          <w:sz w:val="24"/>
          <w:szCs w:val="24"/>
        </w:rPr>
        <w:t>Babali</w:t>
      </w:r>
      <w:proofErr w:type="spellEnd"/>
      <w:r>
        <w:rPr>
          <w:rFonts w:asciiTheme="minorBidi" w:hAnsiTheme="minorBidi"/>
          <w:b/>
          <w:bCs/>
          <w:sz w:val="24"/>
          <w:szCs w:val="24"/>
        </w:rPr>
        <w:t>, 2014)</w:t>
      </w:r>
      <w:bookmarkEnd w:id="66"/>
    </w:p>
    <w:p w14:paraId="32210548"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La collecte des données a été effectuée au sein de deux services hospitaliers du CHU de Tlemcen : le service d’anesthésie-réanimation et le service de médecine interne. Les informations nécessaires ont été recueillies à partir des dossiers médicaux archivés des patients hospitalisés dans ces services.</w:t>
      </w:r>
    </w:p>
    <w:p w14:paraId="37D45D52" w14:textId="77777777" w:rsidR="00502BB2" w:rsidRDefault="0069123E">
      <w:pPr>
        <w:spacing w:line="360" w:lineRule="auto"/>
        <w:ind w:firstLine="141"/>
        <w:jc w:val="both"/>
        <w:rPr>
          <w:rFonts w:asciiTheme="minorBidi" w:hAnsiTheme="minorBidi"/>
          <w:b/>
          <w:bCs/>
          <w:sz w:val="24"/>
          <w:szCs w:val="24"/>
        </w:rPr>
      </w:pPr>
      <w:r>
        <w:rPr>
          <w:rFonts w:asciiTheme="minorBidi" w:hAnsiTheme="minorBidi"/>
          <w:sz w:val="24"/>
          <w:szCs w:val="24"/>
        </w:rPr>
        <w:t>La période de collecte des données s’est déroulée sur un mois, du 15 février au 15 mars 2026</w:t>
      </w:r>
      <w:r>
        <w:rPr>
          <w:rFonts w:asciiTheme="minorBidi" w:hAnsiTheme="minorBidi"/>
          <w:b/>
          <w:bCs/>
          <w:sz w:val="24"/>
          <w:szCs w:val="24"/>
        </w:rPr>
        <w:t>.</w:t>
      </w:r>
    </w:p>
    <w:p w14:paraId="690CD52C" w14:textId="77777777" w:rsidR="00502BB2" w:rsidRDefault="0069123E">
      <w:pPr>
        <w:pStyle w:val="Heading3"/>
        <w:numPr>
          <w:ilvl w:val="0"/>
          <w:numId w:val="10"/>
        </w:numPr>
        <w:rPr>
          <w:rFonts w:asciiTheme="minorBidi" w:hAnsiTheme="minorBidi" w:cstheme="minorBidi"/>
          <w:b/>
          <w:bCs/>
          <w:color w:val="0D0D0D" w:themeColor="text1" w:themeTint="F2"/>
          <w:sz w:val="24"/>
          <w:szCs w:val="24"/>
        </w:rPr>
      </w:pPr>
      <w:bookmarkStart w:id="67" w:name="_Toc226577341"/>
      <w:r>
        <w:rPr>
          <w:rFonts w:asciiTheme="minorBidi" w:hAnsiTheme="minorBidi" w:cstheme="minorBidi"/>
          <w:b/>
          <w:bCs/>
          <w:color w:val="0D0D0D" w:themeColor="text1" w:themeTint="F2"/>
          <w:sz w:val="24"/>
          <w:szCs w:val="24"/>
        </w:rPr>
        <w:lastRenderedPageBreak/>
        <w:t>Population cible et critères d’inclusion et d’exclusion</w:t>
      </w:r>
      <w:bookmarkEnd w:id="67"/>
    </w:p>
    <w:p w14:paraId="2C5AF6A4" w14:textId="77777777" w:rsidR="00502BB2" w:rsidRDefault="0069123E">
      <w:pPr>
        <w:spacing w:line="360" w:lineRule="auto"/>
        <w:ind w:firstLine="501"/>
        <w:jc w:val="both"/>
        <w:rPr>
          <w:rFonts w:asciiTheme="minorBidi" w:hAnsiTheme="minorBidi"/>
          <w:sz w:val="24"/>
          <w:szCs w:val="24"/>
        </w:rPr>
      </w:pPr>
      <w:r>
        <w:rPr>
          <w:rFonts w:asciiTheme="minorBidi" w:hAnsiTheme="minorBidi"/>
          <w:sz w:val="24"/>
          <w:szCs w:val="24"/>
        </w:rPr>
        <w:t>L’étude a porté sur un total de 44 patients présentant une acidocétose diabétique, dont 24 patients hospitalisés en médecine interne et 20 patients admis en service d’anesthésie-réanimation. L’âge des patients inclus dans l’étude varie entre 10 et 75 ans.</w:t>
      </w:r>
    </w:p>
    <w:p w14:paraId="38B4BC82" w14:textId="77777777" w:rsidR="00502BB2" w:rsidRDefault="0069123E">
      <w:pPr>
        <w:spacing w:line="360" w:lineRule="auto"/>
        <w:ind w:firstLine="501"/>
        <w:jc w:val="both"/>
        <w:rPr>
          <w:rFonts w:asciiTheme="minorBidi" w:hAnsiTheme="minorBidi"/>
          <w:sz w:val="24"/>
          <w:szCs w:val="24"/>
        </w:rPr>
      </w:pPr>
      <w:r>
        <w:rPr>
          <w:rFonts w:asciiTheme="minorBidi" w:hAnsiTheme="minorBidi"/>
          <w:sz w:val="24"/>
          <w:szCs w:val="24"/>
        </w:rPr>
        <w:t>Les données recueillies ont permis d’analyser différents marqueurs métaboliques et biochimiques, notamment les paramètres de biochimie sanguine, la numération formule sanguine (FNS), l’ionogramme sanguin, l’analyse chimique des urines, ainsi que les paramètres de gazométrie. D’autres variables cliniques ont également été prises en compte, telles que l’âge du diabète et le score de Glasgow, permettant d’évaluer l’état de conscience et la fonctionnalité du système nerveux des patients.</w:t>
      </w:r>
    </w:p>
    <w:p w14:paraId="08B09348"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Tout patient présentant un dossier incomplet, l’absence de l’un des paramètres étudiés, ou présentant un autre type de coma non lié à l’acidocétose diabétique a été exclu de la sélection.</w:t>
      </w:r>
    </w:p>
    <w:p w14:paraId="790EF2A4" w14:textId="77777777" w:rsidR="00502BB2" w:rsidRDefault="0069123E">
      <w:pPr>
        <w:spacing w:line="360" w:lineRule="auto"/>
        <w:ind w:firstLine="501"/>
        <w:jc w:val="both"/>
        <w:rPr>
          <w:rFonts w:asciiTheme="minorBidi" w:hAnsiTheme="minorBidi"/>
          <w:sz w:val="24"/>
          <w:szCs w:val="24"/>
        </w:rPr>
      </w:pPr>
      <w:r>
        <w:rPr>
          <w:rFonts w:asciiTheme="minorBidi" w:hAnsiTheme="minorBidi"/>
          <w:sz w:val="24"/>
          <w:szCs w:val="24"/>
        </w:rPr>
        <w:t>Le protocole de cette étude a été réalisé avec l’approbation des médecins chefs des deux services concernés, après présentation détaillée des objectifs du travail. L’étude a été conduite conformément aux principes éthiques de la recherche clinique de la Direction de la Santé et de la Population de la wilaya de Tlemcen (Algérie).</w:t>
      </w:r>
    </w:p>
    <w:p w14:paraId="4D7F7457" w14:textId="77777777" w:rsidR="00502BB2" w:rsidRDefault="0069123E">
      <w:pPr>
        <w:pStyle w:val="Heading3"/>
        <w:numPr>
          <w:ilvl w:val="0"/>
          <w:numId w:val="10"/>
        </w:numPr>
        <w:rPr>
          <w:rFonts w:asciiTheme="minorBidi" w:hAnsiTheme="minorBidi" w:cstheme="minorBidi"/>
          <w:b/>
          <w:bCs/>
          <w:color w:val="0D0D0D" w:themeColor="text1" w:themeTint="F2"/>
          <w:sz w:val="24"/>
          <w:szCs w:val="24"/>
        </w:rPr>
      </w:pPr>
      <w:bookmarkStart w:id="68" w:name="_Toc226577342"/>
      <w:r>
        <w:rPr>
          <w:rFonts w:asciiTheme="minorBidi" w:hAnsiTheme="minorBidi" w:cstheme="minorBidi"/>
          <w:b/>
          <w:bCs/>
          <w:color w:val="0D0D0D" w:themeColor="text1" w:themeTint="F2"/>
          <w:sz w:val="24"/>
          <w:szCs w:val="24"/>
        </w:rPr>
        <w:t>Enquête par questionnaire :</w:t>
      </w:r>
      <w:bookmarkEnd w:id="68"/>
    </w:p>
    <w:p w14:paraId="2D9F03B3"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Les informations ont été recueillies à l’aide d’une fiche d’enquête standardisée sur laquelle étaient consignés les renseignements essentiels concernant chaque patient (32). Le questionnaire comprenait sept parties (</w:t>
      </w:r>
      <w:r>
        <w:rPr>
          <w:rFonts w:asciiTheme="minorBidi" w:hAnsiTheme="minorBidi"/>
          <w:b/>
          <w:bCs/>
          <w:sz w:val="24"/>
          <w:szCs w:val="24"/>
        </w:rPr>
        <w:t>Annexe 2</w:t>
      </w:r>
      <w:r>
        <w:rPr>
          <w:rFonts w:asciiTheme="minorBidi" w:hAnsiTheme="minorBidi"/>
          <w:sz w:val="24"/>
          <w:szCs w:val="24"/>
        </w:rPr>
        <w:t>).</w:t>
      </w:r>
    </w:p>
    <w:p w14:paraId="485DB88D" w14:textId="77777777" w:rsidR="00502BB2" w:rsidRDefault="0069123E">
      <w:pPr>
        <w:pStyle w:val="ListParagraph"/>
        <w:numPr>
          <w:ilvl w:val="0"/>
          <w:numId w:val="4"/>
        </w:numPr>
        <w:spacing w:line="360" w:lineRule="auto"/>
        <w:jc w:val="both"/>
        <w:rPr>
          <w:rFonts w:asciiTheme="minorBidi" w:hAnsiTheme="minorBidi"/>
          <w:sz w:val="24"/>
          <w:szCs w:val="24"/>
        </w:rPr>
      </w:pPr>
      <w:r>
        <w:rPr>
          <w:rFonts w:asciiTheme="minorBidi" w:hAnsiTheme="minorBidi"/>
          <w:sz w:val="24"/>
          <w:szCs w:val="24"/>
        </w:rPr>
        <w:t>La première partie concernait les caractéristiques générales des patients, notamment les données sociodémographiques et les informations relatives à l’hospitalisation : âge, sexe, service d’admission et état de conscience.</w:t>
      </w:r>
    </w:p>
    <w:p w14:paraId="4E7DE0D9" w14:textId="77777777" w:rsidR="00502BB2" w:rsidRDefault="0069123E">
      <w:pPr>
        <w:pStyle w:val="ListParagraph"/>
        <w:numPr>
          <w:ilvl w:val="0"/>
          <w:numId w:val="4"/>
        </w:numPr>
        <w:spacing w:line="360" w:lineRule="auto"/>
        <w:jc w:val="both"/>
        <w:rPr>
          <w:rFonts w:asciiTheme="minorBidi" w:hAnsiTheme="minorBidi"/>
          <w:sz w:val="24"/>
          <w:szCs w:val="24"/>
        </w:rPr>
      </w:pPr>
      <w:r>
        <w:rPr>
          <w:rFonts w:asciiTheme="minorBidi" w:hAnsiTheme="minorBidi"/>
          <w:sz w:val="24"/>
          <w:szCs w:val="24"/>
        </w:rPr>
        <w:t>La deuxième partie visait à déterminer les caractéristiques du diabète, incluant le type de diabète, l’ancienneté de la maladie (âge du diabète), le taux d’HbA1c ainsi que les antécédents familiaux.</w:t>
      </w:r>
    </w:p>
    <w:p w14:paraId="4E27C6B0" w14:textId="77777777" w:rsidR="00502BB2" w:rsidRDefault="0069123E">
      <w:pPr>
        <w:pStyle w:val="ListParagraph"/>
        <w:numPr>
          <w:ilvl w:val="0"/>
          <w:numId w:val="4"/>
        </w:numPr>
        <w:spacing w:line="360" w:lineRule="auto"/>
        <w:jc w:val="both"/>
        <w:rPr>
          <w:rFonts w:asciiTheme="minorBidi" w:hAnsiTheme="minorBidi"/>
          <w:sz w:val="24"/>
          <w:szCs w:val="24"/>
        </w:rPr>
      </w:pPr>
      <w:r>
        <w:rPr>
          <w:rFonts w:asciiTheme="minorBidi" w:hAnsiTheme="minorBidi"/>
          <w:sz w:val="24"/>
          <w:szCs w:val="24"/>
        </w:rPr>
        <w:t>La troisième partie regroupait les principaux signes et symptômes cliniques observés lors de l’hospitalisation des patients.</w:t>
      </w:r>
    </w:p>
    <w:p w14:paraId="66FE3051" w14:textId="77777777" w:rsidR="00502BB2" w:rsidRDefault="0069123E">
      <w:pPr>
        <w:pStyle w:val="ListParagraph"/>
        <w:numPr>
          <w:ilvl w:val="0"/>
          <w:numId w:val="4"/>
        </w:numPr>
        <w:spacing w:line="360" w:lineRule="auto"/>
        <w:rPr>
          <w:rFonts w:asciiTheme="minorBidi" w:hAnsiTheme="minorBidi"/>
          <w:sz w:val="24"/>
          <w:szCs w:val="24"/>
        </w:rPr>
      </w:pPr>
      <w:r>
        <w:rPr>
          <w:rFonts w:asciiTheme="minorBidi" w:hAnsiTheme="minorBidi"/>
          <w:sz w:val="24"/>
          <w:szCs w:val="24"/>
        </w:rPr>
        <w:lastRenderedPageBreak/>
        <w:t>La quatrième partie était consacrée à l’identification des pathologies associées ainsi que des complications liées au diabète.</w:t>
      </w:r>
    </w:p>
    <w:p w14:paraId="40908039" w14:textId="77777777" w:rsidR="00502BB2" w:rsidRDefault="0069123E">
      <w:pPr>
        <w:pStyle w:val="ListParagraph"/>
        <w:numPr>
          <w:ilvl w:val="0"/>
          <w:numId w:val="4"/>
        </w:numPr>
        <w:spacing w:line="360" w:lineRule="auto"/>
        <w:rPr>
          <w:rFonts w:asciiTheme="minorBidi" w:hAnsiTheme="minorBidi"/>
          <w:sz w:val="24"/>
          <w:szCs w:val="24"/>
        </w:rPr>
      </w:pPr>
      <w:r>
        <w:rPr>
          <w:rFonts w:asciiTheme="minorBidi" w:hAnsiTheme="minorBidi"/>
          <w:sz w:val="24"/>
          <w:szCs w:val="24"/>
        </w:rPr>
        <w:t>La cinquième partie portait sur les traitements suivis par les patients, qu’il s’agisse du traitement antidiabétique ou des traitements prescrits pour d’éventuelles pathologies associées.</w:t>
      </w:r>
    </w:p>
    <w:p w14:paraId="0293DAA9" w14:textId="77777777" w:rsidR="00502BB2" w:rsidRDefault="0069123E">
      <w:pPr>
        <w:pStyle w:val="Heading3"/>
        <w:numPr>
          <w:ilvl w:val="0"/>
          <w:numId w:val="10"/>
        </w:numPr>
        <w:rPr>
          <w:rFonts w:asciiTheme="minorBidi" w:hAnsiTheme="minorBidi" w:cstheme="minorBidi"/>
          <w:b/>
          <w:bCs/>
          <w:color w:val="0D0D0D" w:themeColor="text1" w:themeTint="F2"/>
          <w:sz w:val="24"/>
          <w:szCs w:val="24"/>
        </w:rPr>
      </w:pPr>
      <w:bookmarkStart w:id="69" w:name="_Toc226577343"/>
      <w:r>
        <w:rPr>
          <w:rFonts w:asciiTheme="minorBidi" w:hAnsiTheme="minorBidi" w:cstheme="minorBidi"/>
          <w:b/>
          <w:bCs/>
          <w:color w:val="0D0D0D" w:themeColor="text1" w:themeTint="F2"/>
          <w:sz w:val="24"/>
          <w:szCs w:val="24"/>
        </w:rPr>
        <w:t>Variables étudiées :</w:t>
      </w:r>
      <w:bookmarkEnd w:id="69"/>
    </w:p>
    <w:p w14:paraId="7D383199"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Les différentes variables étudiées, ainsi que certains paramètres cliniques tels que le score de Glasgow, la tension artérielle, la fréquence cardiaque et respiratoire, la diurèse et la température, sont présentés dans le </w:t>
      </w:r>
      <w:r>
        <w:rPr>
          <w:rFonts w:asciiTheme="minorBidi" w:hAnsiTheme="minorBidi"/>
          <w:b/>
          <w:bCs/>
          <w:sz w:val="24"/>
          <w:szCs w:val="24"/>
        </w:rPr>
        <w:t>tableau 09</w:t>
      </w:r>
      <w:r>
        <w:rPr>
          <w:rFonts w:asciiTheme="minorBidi" w:hAnsiTheme="minorBidi"/>
          <w:sz w:val="24"/>
          <w:szCs w:val="24"/>
        </w:rPr>
        <w:t>.</w:t>
      </w:r>
    </w:p>
    <w:p w14:paraId="6FD3C13A" w14:textId="1A1E894E" w:rsidR="00502BB2" w:rsidRDefault="0069123E">
      <w:pPr>
        <w:pStyle w:val="Caption"/>
        <w:keepNext/>
        <w:rPr>
          <w:rFonts w:asciiTheme="minorBidi" w:hAnsiTheme="minorBidi"/>
          <w:sz w:val="24"/>
          <w:szCs w:val="24"/>
        </w:rPr>
      </w:pPr>
      <w:bookmarkStart w:id="70" w:name="_Toc226577304"/>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9</w:t>
      </w:r>
      <w:r>
        <w:rPr>
          <w:rFonts w:asciiTheme="minorBidi" w:hAnsiTheme="minorBidi"/>
          <w:b/>
          <w:bCs/>
          <w:sz w:val="24"/>
          <w:szCs w:val="24"/>
        </w:rPr>
        <w:fldChar w:fldCharType="end"/>
      </w:r>
      <w:r>
        <w:rPr>
          <w:rFonts w:asciiTheme="minorBidi" w:hAnsiTheme="minorBidi"/>
          <w:sz w:val="24"/>
          <w:szCs w:val="24"/>
        </w:rPr>
        <w:t xml:space="preserve"> : Paramètres biologiques et cliniques étudiés</w:t>
      </w:r>
      <w:bookmarkEnd w:id="70"/>
    </w:p>
    <w:tbl>
      <w:tblPr>
        <w:tblStyle w:val="PlainTable51"/>
        <w:tblW w:w="0" w:type="auto"/>
        <w:shd w:val="clear" w:color="auto" w:fill="F2F2F2" w:themeFill="background1" w:themeFillShade="F2"/>
        <w:tblLook w:val="04A0" w:firstRow="1" w:lastRow="0" w:firstColumn="1" w:lastColumn="0" w:noHBand="0" w:noVBand="1"/>
      </w:tblPr>
      <w:tblGrid>
        <w:gridCol w:w="1706"/>
        <w:gridCol w:w="2650"/>
        <w:gridCol w:w="1657"/>
        <w:gridCol w:w="1869"/>
        <w:gridCol w:w="1524"/>
      </w:tblGrid>
      <w:tr w:rsidR="00502BB2" w14:paraId="07EC36CF" w14:textId="77777777" w:rsidTr="00502B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F2F2F2" w:themeFill="background1" w:themeFillShade="F2"/>
          </w:tcPr>
          <w:p w14:paraId="29A8CE93"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Biochimie</w:t>
            </w:r>
          </w:p>
        </w:tc>
        <w:tc>
          <w:tcPr>
            <w:tcW w:w="0" w:type="auto"/>
            <w:shd w:val="clear" w:color="auto" w:fill="F2F2F2" w:themeFill="background1" w:themeFillShade="F2"/>
          </w:tcPr>
          <w:p w14:paraId="4C09A4A9"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b/>
                <w:bCs/>
                <w:i w:val="0"/>
                <w:iCs w:val="0"/>
                <w:sz w:val="24"/>
                <w:szCs w:val="24"/>
              </w:rPr>
            </w:pPr>
            <w:r>
              <w:rPr>
                <w:rFonts w:asciiTheme="minorBidi" w:hAnsiTheme="minorBidi"/>
                <w:b/>
                <w:bCs/>
                <w:sz w:val="24"/>
                <w:szCs w:val="24"/>
              </w:rPr>
              <w:t>Hématologie</w:t>
            </w:r>
          </w:p>
        </w:tc>
        <w:tc>
          <w:tcPr>
            <w:tcW w:w="0" w:type="auto"/>
            <w:shd w:val="clear" w:color="auto" w:fill="F2F2F2" w:themeFill="background1" w:themeFillShade="F2"/>
          </w:tcPr>
          <w:p w14:paraId="28FEB745"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b/>
                <w:bCs/>
                <w:i w:val="0"/>
                <w:iCs w:val="0"/>
                <w:sz w:val="24"/>
                <w:szCs w:val="24"/>
              </w:rPr>
            </w:pPr>
            <w:r>
              <w:rPr>
                <w:rFonts w:asciiTheme="minorBidi" w:hAnsiTheme="minorBidi"/>
                <w:b/>
                <w:bCs/>
                <w:sz w:val="24"/>
                <w:szCs w:val="24"/>
              </w:rPr>
              <w:t>Ionogramme</w:t>
            </w:r>
          </w:p>
        </w:tc>
        <w:tc>
          <w:tcPr>
            <w:tcW w:w="0" w:type="auto"/>
            <w:shd w:val="clear" w:color="auto" w:fill="F2F2F2" w:themeFill="background1" w:themeFillShade="F2"/>
          </w:tcPr>
          <w:p w14:paraId="4EC99DAB"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b/>
                <w:bCs/>
                <w:i w:val="0"/>
                <w:iCs w:val="0"/>
                <w:sz w:val="24"/>
                <w:szCs w:val="24"/>
              </w:rPr>
            </w:pPr>
            <w:r>
              <w:rPr>
                <w:rFonts w:asciiTheme="minorBidi" w:hAnsiTheme="minorBidi"/>
                <w:b/>
                <w:bCs/>
                <w:sz w:val="24"/>
                <w:szCs w:val="24"/>
              </w:rPr>
              <w:t>Chimie des urines</w:t>
            </w:r>
          </w:p>
        </w:tc>
        <w:tc>
          <w:tcPr>
            <w:tcW w:w="0" w:type="auto"/>
            <w:shd w:val="clear" w:color="auto" w:fill="F2F2F2" w:themeFill="background1" w:themeFillShade="F2"/>
          </w:tcPr>
          <w:p w14:paraId="27B28D87" w14:textId="77777777" w:rsidR="00502BB2" w:rsidRDefault="0069123E">
            <w:pPr>
              <w:spacing w:after="0" w:line="360" w:lineRule="auto"/>
              <w:cnfStyle w:val="100000000000" w:firstRow="1" w:lastRow="0" w:firstColumn="0" w:lastColumn="0" w:oddVBand="0" w:evenVBand="0" w:oddHBand="0" w:evenHBand="0" w:firstRowFirstColumn="0" w:firstRowLastColumn="0" w:lastRowFirstColumn="0" w:lastRowLastColumn="0"/>
              <w:rPr>
                <w:rFonts w:asciiTheme="minorBidi" w:hAnsiTheme="minorBidi"/>
                <w:b/>
                <w:bCs/>
                <w:i w:val="0"/>
                <w:iCs w:val="0"/>
                <w:sz w:val="24"/>
                <w:szCs w:val="24"/>
              </w:rPr>
            </w:pPr>
            <w:r>
              <w:rPr>
                <w:rFonts w:asciiTheme="minorBidi" w:hAnsiTheme="minorBidi"/>
                <w:b/>
                <w:bCs/>
                <w:sz w:val="24"/>
                <w:szCs w:val="24"/>
              </w:rPr>
              <w:t>Gazométrie</w:t>
            </w:r>
          </w:p>
        </w:tc>
      </w:tr>
      <w:tr w:rsidR="00502BB2" w14:paraId="6AA3F39D"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0BFF509C"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Glycémie</w:t>
            </w:r>
          </w:p>
        </w:tc>
        <w:tc>
          <w:tcPr>
            <w:tcW w:w="0" w:type="auto"/>
            <w:shd w:val="clear" w:color="auto" w:fill="F2F2F2" w:themeFill="background1" w:themeFillShade="F2"/>
          </w:tcPr>
          <w:p w14:paraId="5CC426FE"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roofErr w:type="spellStart"/>
            <w:r>
              <w:rPr>
                <w:rFonts w:asciiTheme="minorBidi" w:hAnsiTheme="minorBidi"/>
                <w:b/>
                <w:bCs/>
                <w:sz w:val="24"/>
                <w:szCs w:val="24"/>
              </w:rPr>
              <w:t>Hb</w:t>
            </w:r>
            <w:proofErr w:type="spellEnd"/>
          </w:p>
        </w:tc>
        <w:tc>
          <w:tcPr>
            <w:tcW w:w="0" w:type="auto"/>
            <w:shd w:val="clear" w:color="auto" w:fill="F2F2F2" w:themeFill="background1" w:themeFillShade="F2"/>
          </w:tcPr>
          <w:p w14:paraId="6C18D28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Na</w:t>
            </w:r>
            <w:r>
              <w:rPr>
                <w:rFonts w:ascii="Cambria Math" w:hAnsi="Cambria Math" w:cs="Cambria Math"/>
                <w:b/>
                <w:bCs/>
                <w:sz w:val="24"/>
                <w:szCs w:val="24"/>
              </w:rPr>
              <w:t>⁺</w:t>
            </w:r>
          </w:p>
        </w:tc>
        <w:tc>
          <w:tcPr>
            <w:tcW w:w="0" w:type="auto"/>
            <w:shd w:val="clear" w:color="auto" w:fill="F2F2F2" w:themeFill="background1" w:themeFillShade="F2"/>
          </w:tcPr>
          <w:p w14:paraId="0F52B48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Cétonurie</w:t>
            </w:r>
          </w:p>
        </w:tc>
        <w:tc>
          <w:tcPr>
            <w:tcW w:w="0" w:type="auto"/>
            <w:shd w:val="clear" w:color="auto" w:fill="F2F2F2" w:themeFill="background1" w:themeFillShade="F2"/>
          </w:tcPr>
          <w:p w14:paraId="72E5881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pH</w:t>
            </w:r>
          </w:p>
        </w:tc>
      </w:tr>
      <w:tr w:rsidR="00502BB2" w14:paraId="53B80348"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2EC5ACAC"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HbA1c</w:t>
            </w:r>
          </w:p>
        </w:tc>
        <w:tc>
          <w:tcPr>
            <w:tcW w:w="0" w:type="auto"/>
            <w:shd w:val="clear" w:color="auto" w:fill="F2F2F2" w:themeFill="background1" w:themeFillShade="F2"/>
          </w:tcPr>
          <w:p w14:paraId="707E05C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Globules blancs</w:t>
            </w:r>
          </w:p>
        </w:tc>
        <w:tc>
          <w:tcPr>
            <w:tcW w:w="0" w:type="auto"/>
            <w:shd w:val="clear" w:color="auto" w:fill="F2F2F2" w:themeFill="background1" w:themeFillShade="F2"/>
          </w:tcPr>
          <w:p w14:paraId="2DB034C1"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K</w:t>
            </w:r>
            <w:r>
              <w:rPr>
                <w:rFonts w:ascii="Cambria Math" w:hAnsi="Cambria Math" w:cs="Cambria Math"/>
                <w:b/>
                <w:bCs/>
                <w:sz w:val="24"/>
                <w:szCs w:val="24"/>
              </w:rPr>
              <w:t>⁺</w:t>
            </w:r>
          </w:p>
        </w:tc>
        <w:tc>
          <w:tcPr>
            <w:tcW w:w="0" w:type="auto"/>
            <w:shd w:val="clear" w:color="auto" w:fill="F2F2F2" w:themeFill="background1" w:themeFillShade="F2"/>
          </w:tcPr>
          <w:p w14:paraId="5BE49007"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Glucosurie</w:t>
            </w:r>
          </w:p>
        </w:tc>
        <w:tc>
          <w:tcPr>
            <w:tcW w:w="0" w:type="auto"/>
            <w:shd w:val="clear" w:color="auto" w:fill="F2F2F2" w:themeFill="background1" w:themeFillShade="F2"/>
          </w:tcPr>
          <w:p w14:paraId="6A76340F"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PO</w:t>
            </w:r>
            <w:r>
              <w:rPr>
                <w:rFonts w:ascii="Cambria Math" w:hAnsi="Cambria Math" w:cs="Cambria Math"/>
                <w:b/>
                <w:bCs/>
                <w:sz w:val="24"/>
                <w:szCs w:val="24"/>
              </w:rPr>
              <w:t>₂</w:t>
            </w:r>
          </w:p>
        </w:tc>
      </w:tr>
      <w:tr w:rsidR="00502BB2" w14:paraId="5C87D0B3"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5562C735"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Cholestérol</w:t>
            </w:r>
          </w:p>
        </w:tc>
        <w:tc>
          <w:tcPr>
            <w:tcW w:w="0" w:type="auto"/>
            <w:shd w:val="clear" w:color="auto" w:fill="F2F2F2" w:themeFill="background1" w:themeFillShade="F2"/>
          </w:tcPr>
          <w:p w14:paraId="4981253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Polynucléaires neutrophiles</w:t>
            </w:r>
          </w:p>
        </w:tc>
        <w:tc>
          <w:tcPr>
            <w:tcW w:w="0" w:type="auto"/>
            <w:shd w:val="clear" w:color="auto" w:fill="F2F2F2" w:themeFill="background1" w:themeFillShade="F2"/>
          </w:tcPr>
          <w:p w14:paraId="7A7E0E43"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Cl</w:t>
            </w:r>
            <w:r>
              <w:rPr>
                <w:rFonts w:ascii="Cambria Math" w:hAnsi="Cambria Math" w:cs="Cambria Math"/>
                <w:b/>
                <w:bCs/>
                <w:sz w:val="24"/>
                <w:szCs w:val="24"/>
              </w:rPr>
              <w:t>⁻</w:t>
            </w:r>
          </w:p>
        </w:tc>
        <w:tc>
          <w:tcPr>
            <w:tcW w:w="0" w:type="auto"/>
            <w:shd w:val="clear" w:color="auto" w:fill="F2F2F2" w:themeFill="background1" w:themeFillShade="F2"/>
          </w:tcPr>
          <w:p w14:paraId="50F62BA1"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0EF4B31B"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PCO</w:t>
            </w:r>
            <w:r>
              <w:rPr>
                <w:rFonts w:ascii="Cambria Math" w:hAnsi="Cambria Math" w:cs="Cambria Math"/>
                <w:b/>
                <w:bCs/>
                <w:sz w:val="24"/>
                <w:szCs w:val="24"/>
              </w:rPr>
              <w:t>₂</w:t>
            </w:r>
          </w:p>
        </w:tc>
      </w:tr>
      <w:tr w:rsidR="00502BB2" w14:paraId="78A874BB"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15E3E37"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Triglycérides</w:t>
            </w:r>
          </w:p>
        </w:tc>
        <w:tc>
          <w:tcPr>
            <w:tcW w:w="0" w:type="auto"/>
            <w:shd w:val="clear" w:color="auto" w:fill="F2F2F2" w:themeFill="background1" w:themeFillShade="F2"/>
          </w:tcPr>
          <w:p w14:paraId="77859FFD"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Plaquettes</w:t>
            </w:r>
          </w:p>
        </w:tc>
        <w:tc>
          <w:tcPr>
            <w:tcW w:w="0" w:type="auto"/>
            <w:shd w:val="clear" w:color="auto" w:fill="F2F2F2" w:themeFill="background1" w:themeFillShade="F2"/>
          </w:tcPr>
          <w:p w14:paraId="5C57AF36"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2AE97FAA"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5AD35674"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HCO</w:t>
            </w:r>
            <w:r>
              <w:rPr>
                <w:rFonts w:ascii="Cambria Math" w:hAnsi="Cambria Math" w:cs="Cambria Math"/>
                <w:b/>
                <w:bCs/>
                <w:sz w:val="24"/>
                <w:szCs w:val="24"/>
              </w:rPr>
              <w:t>₃⁻</w:t>
            </w:r>
          </w:p>
        </w:tc>
      </w:tr>
      <w:tr w:rsidR="00502BB2" w14:paraId="1669A727"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71932CE8"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CRP</w:t>
            </w:r>
          </w:p>
        </w:tc>
        <w:tc>
          <w:tcPr>
            <w:tcW w:w="0" w:type="auto"/>
            <w:shd w:val="clear" w:color="auto" w:fill="F2F2F2" w:themeFill="background1" w:themeFillShade="F2"/>
          </w:tcPr>
          <w:p w14:paraId="362EAD9A"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Basophiles / Éosinophiles</w:t>
            </w:r>
          </w:p>
        </w:tc>
        <w:tc>
          <w:tcPr>
            <w:tcW w:w="0" w:type="auto"/>
            <w:shd w:val="clear" w:color="auto" w:fill="F2F2F2" w:themeFill="background1" w:themeFillShade="F2"/>
          </w:tcPr>
          <w:p w14:paraId="37C6C762"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5FDBDDA8"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10D354D2"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Lactate</w:t>
            </w:r>
          </w:p>
        </w:tc>
      </w:tr>
      <w:tr w:rsidR="00502BB2" w14:paraId="781480C4"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E3E32BF"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Créatinine</w:t>
            </w:r>
          </w:p>
        </w:tc>
        <w:tc>
          <w:tcPr>
            <w:tcW w:w="0" w:type="auto"/>
            <w:shd w:val="clear" w:color="auto" w:fill="F2F2F2" w:themeFill="background1" w:themeFillShade="F2"/>
          </w:tcPr>
          <w:p w14:paraId="632DB056" w14:textId="77777777" w:rsidR="00502BB2" w:rsidRDefault="0069123E">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r>
              <w:rPr>
                <w:rFonts w:asciiTheme="minorBidi" w:hAnsiTheme="minorBidi"/>
                <w:b/>
                <w:bCs/>
                <w:sz w:val="24"/>
                <w:szCs w:val="24"/>
              </w:rPr>
              <w:t>TP</w:t>
            </w:r>
          </w:p>
        </w:tc>
        <w:tc>
          <w:tcPr>
            <w:tcW w:w="0" w:type="auto"/>
            <w:shd w:val="clear" w:color="auto" w:fill="F2F2F2" w:themeFill="background1" w:themeFillShade="F2"/>
          </w:tcPr>
          <w:p w14:paraId="6AD2C342"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3299AA05"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4C1C6326"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r>
      <w:tr w:rsidR="00502BB2" w14:paraId="6D4CEDDD"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459CE8D9"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Urée</w:t>
            </w:r>
          </w:p>
        </w:tc>
        <w:tc>
          <w:tcPr>
            <w:tcW w:w="0" w:type="auto"/>
            <w:shd w:val="clear" w:color="auto" w:fill="F2F2F2" w:themeFill="background1" w:themeFillShade="F2"/>
          </w:tcPr>
          <w:p w14:paraId="2F9D9A3C"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4C32BBA0"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5154BC12"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3ABFDB4D"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r>
      <w:tr w:rsidR="00502BB2" w14:paraId="0856345E"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3B4E2FC5"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AST</w:t>
            </w:r>
          </w:p>
        </w:tc>
        <w:tc>
          <w:tcPr>
            <w:tcW w:w="0" w:type="auto"/>
            <w:shd w:val="clear" w:color="auto" w:fill="F2F2F2" w:themeFill="background1" w:themeFillShade="F2"/>
          </w:tcPr>
          <w:p w14:paraId="418B7567"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1E23CC48"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5E60B428"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3EEC3FBE"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r>
      <w:tr w:rsidR="00502BB2" w14:paraId="05802805" w14:textId="77777777" w:rsidTr="00502BB2">
        <w:tc>
          <w:tcPr>
            <w:cnfStyle w:val="001000000000" w:firstRow="0" w:lastRow="0" w:firstColumn="1" w:lastColumn="0" w:oddVBand="0" w:evenVBand="0" w:oddHBand="0" w:evenHBand="0" w:firstRowFirstColumn="0" w:firstRowLastColumn="0" w:lastRowFirstColumn="0" w:lastRowLastColumn="0"/>
            <w:tcW w:w="0" w:type="auto"/>
            <w:shd w:val="clear" w:color="auto" w:fill="F2F2F2" w:themeFill="background1" w:themeFillShade="F2"/>
          </w:tcPr>
          <w:p w14:paraId="6E23B38B" w14:textId="77777777" w:rsidR="00502BB2" w:rsidRDefault="0069123E">
            <w:pPr>
              <w:spacing w:after="0" w:line="360" w:lineRule="auto"/>
              <w:rPr>
                <w:rFonts w:asciiTheme="minorBidi" w:hAnsiTheme="minorBidi"/>
                <w:b/>
                <w:bCs/>
                <w:i w:val="0"/>
                <w:iCs w:val="0"/>
                <w:sz w:val="24"/>
                <w:szCs w:val="24"/>
              </w:rPr>
            </w:pPr>
            <w:r>
              <w:rPr>
                <w:rFonts w:asciiTheme="minorBidi" w:hAnsiTheme="minorBidi"/>
                <w:b/>
                <w:bCs/>
                <w:sz w:val="24"/>
                <w:szCs w:val="24"/>
              </w:rPr>
              <w:t>ALT</w:t>
            </w:r>
          </w:p>
        </w:tc>
        <w:tc>
          <w:tcPr>
            <w:tcW w:w="0" w:type="auto"/>
            <w:shd w:val="clear" w:color="auto" w:fill="F2F2F2" w:themeFill="background1" w:themeFillShade="F2"/>
          </w:tcPr>
          <w:p w14:paraId="6AABBA94"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5921ACEF"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7BF43F9C"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c>
          <w:tcPr>
            <w:tcW w:w="0" w:type="auto"/>
            <w:shd w:val="clear" w:color="auto" w:fill="F2F2F2" w:themeFill="background1" w:themeFillShade="F2"/>
          </w:tcPr>
          <w:p w14:paraId="64394E5D" w14:textId="77777777" w:rsidR="00502BB2" w:rsidRDefault="00502BB2">
            <w:pPr>
              <w:spacing w:after="0" w:line="360" w:lineRule="auto"/>
              <w:cnfStyle w:val="000000000000" w:firstRow="0" w:lastRow="0" w:firstColumn="0" w:lastColumn="0" w:oddVBand="0" w:evenVBand="0" w:oddHBand="0" w:evenHBand="0" w:firstRowFirstColumn="0" w:firstRowLastColumn="0" w:lastRowFirstColumn="0" w:lastRowLastColumn="0"/>
              <w:rPr>
                <w:rFonts w:asciiTheme="minorBidi" w:hAnsiTheme="minorBidi"/>
                <w:b/>
                <w:bCs/>
                <w:sz w:val="24"/>
                <w:szCs w:val="24"/>
              </w:rPr>
            </w:pPr>
          </w:p>
        </w:tc>
      </w:tr>
    </w:tbl>
    <w:p w14:paraId="208C0051" w14:textId="77777777" w:rsidR="00502BB2" w:rsidRDefault="00502BB2">
      <w:pPr>
        <w:pStyle w:val="Heading3"/>
        <w:rPr>
          <w:rFonts w:asciiTheme="minorBidi" w:hAnsiTheme="minorBidi" w:cstheme="minorBidi"/>
          <w:b/>
          <w:bCs/>
          <w:color w:val="0D0D0D" w:themeColor="text1" w:themeTint="F2"/>
          <w:sz w:val="24"/>
          <w:szCs w:val="24"/>
        </w:rPr>
      </w:pPr>
    </w:p>
    <w:p w14:paraId="35F4D541" w14:textId="77777777" w:rsidR="00502BB2" w:rsidRDefault="0069123E">
      <w:pPr>
        <w:pStyle w:val="Heading3"/>
        <w:numPr>
          <w:ilvl w:val="0"/>
          <w:numId w:val="10"/>
        </w:numPr>
        <w:rPr>
          <w:rFonts w:asciiTheme="minorBidi" w:hAnsiTheme="minorBidi" w:cstheme="minorBidi"/>
          <w:b/>
          <w:bCs/>
          <w:color w:val="0D0D0D" w:themeColor="text1" w:themeTint="F2"/>
          <w:sz w:val="24"/>
          <w:szCs w:val="24"/>
        </w:rPr>
      </w:pPr>
      <w:bookmarkStart w:id="71" w:name="_Toc226577344"/>
      <w:r>
        <w:rPr>
          <w:rFonts w:asciiTheme="minorBidi" w:hAnsiTheme="minorBidi" w:cstheme="minorBidi"/>
          <w:b/>
          <w:bCs/>
          <w:color w:val="0D0D0D" w:themeColor="text1" w:themeTint="F2"/>
          <w:sz w:val="24"/>
          <w:szCs w:val="24"/>
        </w:rPr>
        <w:t>Paramètres calculés :</w:t>
      </w:r>
      <w:bookmarkEnd w:id="71"/>
    </w:p>
    <w:p w14:paraId="0CA5F070" w14:textId="77777777" w:rsidR="00502BB2" w:rsidRDefault="0069123E">
      <w:pPr>
        <w:spacing w:line="360" w:lineRule="auto"/>
        <w:ind w:firstLine="141"/>
        <w:rPr>
          <w:rFonts w:asciiTheme="minorBidi" w:hAnsiTheme="minorBidi"/>
          <w:b/>
          <w:bCs/>
          <w:sz w:val="24"/>
          <w:szCs w:val="24"/>
        </w:rPr>
      </w:pPr>
      <w:r>
        <w:rPr>
          <w:rFonts w:asciiTheme="minorBidi" w:hAnsiTheme="minorBidi"/>
          <w:sz w:val="24"/>
          <w:szCs w:val="24"/>
        </w:rPr>
        <w:t>En plus des paramètres biologiques mesurés, certains indices métaboliques ont été calculés afin de mieux caractériser les perturbations métaboliques associées à l’acidocétose diabétique</w:t>
      </w:r>
      <w:r>
        <w:rPr>
          <w:rFonts w:asciiTheme="minorBidi" w:hAnsiTheme="minorBidi"/>
          <w:b/>
          <w:bCs/>
          <w:sz w:val="24"/>
          <w:szCs w:val="24"/>
        </w:rPr>
        <w:t>.</w:t>
      </w:r>
    </w:p>
    <w:p w14:paraId="5505B9A6" w14:textId="77777777" w:rsidR="00502BB2" w:rsidRDefault="0069123E">
      <w:pPr>
        <w:pStyle w:val="Heading4"/>
        <w:numPr>
          <w:ilvl w:val="0"/>
          <w:numId w:val="11"/>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lastRenderedPageBreak/>
        <w:t>Trou anionique :</w:t>
      </w:r>
    </w:p>
    <w:p w14:paraId="57B001A6" w14:textId="77777777" w:rsidR="00502BB2" w:rsidRDefault="0069123E">
      <w:pPr>
        <w:spacing w:line="360" w:lineRule="auto"/>
        <w:ind w:firstLine="501"/>
        <w:jc w:val="both"/>
        <w:rPr>
          <w:rFonts w:asciiTheme="minorBidi" w:hAnsiTheme="minorBidi"/>
          <w:sz w:val="24"/>
          <w:szCs w:val="24"/>
        </w:rPr>
      </w:pPr>
      <w:r>
        <w:rPr>
          <w:rFonts w:asciiTheme="minorBidi" w:hAnsiTheme="minorBidi"/>
          <w:sz w:val="24"/>
          <w:szCs w:val="24"/>
        </w:rPr>
        <w:t xml:space="preserve">Le trou anionique (anion gap) a été calculé afin d’évaluer l’importance de l’acidose métabolique dans l’acidocétose diabétique. Il est déterminé à partir des concentrations plasmatiques de sodium, de chlore et de bicarbonates selon la formule suivante </w:t>
      </w:r>
      <w:sdt>
        <w:sdtPr>
          <w:rPr>
            <w:rFonts w:asciiTheme="minorBidi" w:hAnsiTheme="minorBidi"/>
            <w:b/>
            <w:bCs/>
            <w:sz w:val="24"/>
            <w:szCs w:val="24"/>
          </w:rPr>
          <w:id w:val="36803008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Bol22 \l 1036 </w:instrText>
          </w:r>
          <w:r>
            <w:rPr>
              <w:rFonts w:asciiTheme="minorBidi" w:hAnsiTheme="minorBidi"/>
              <w:b/>
              <w:bCs/>
              <w:sz w:val="24"/>
              <w:szCs w:val="24"/>
            </w:rPr>
            <w:fldChar w:fldCharType="separate"/>
          </w:r>
          <w:r>
            <w:rPr>
              <w:rFonts w:asciiTheme="minorBidi" w:hAnsiTheme="minorBidi"/>
              <w:b/>
              <w:bCs/>
              <w:sz w:val="24"/>
              <w:szCs w:val="24"/>
            </w:rPr>
            <w:t>(Boles, 2022)</w:t>
          </w:r>
          <w:r>
            <w:rPr>
              <w:rFonts w:asciiTheme="minorBidi" w:hAnsiTheme="minorBidi"/>
              <w:b/>
              <w:bCs/>
              <w:sz w:val="24"/>
              <w:szCs w:val="24"/>
            </w:rPr>
            <w:fldChar w:fldCharType="end"/>
          </w:r>
        </w:sdtContent>
      </w:sdt>
      <w:r>
        <w:rPr>
          <w:rFonts w:asciiTheme="minorBidi" w:hAnsiTheme="minorBidi"/>
          <w:b/>
          <w:bCs/>
          <w:sz w:val="24"/>
          <w:szCs w:val="24"/>
        </w:rPr>
        <w:t xml:space="preserve">, </w:t>
      </w:r>
      <w:sdt>
        <w:sdtPr>
          <w:rPr>
            <w:rFonts w:asciiTheme="minorBidi" w:hAnsiTheme="minorBidi"/>
            <w:b/>
            <w:bCs/>
            <w:sz w:val="24"/>
            <w:szCs w:val="24"/>
          </w:rPr>
          <w:id w:val="-116432023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Dha25 \l 1036 </w:instrText>
          </w:r>
          <w:r>
            <w:rPr>
              <w:rFonts w:asciiTheme="minorBidi" w:hAnsiTheme="minorBidi"/>
              <w:b/>
              <w:bCs/>
              <w:sz w:val="24"/>
              <w:szCs w:val="24"/>
            </w:rPr>
            <w:fldChar w:fldCharType="separate"/>
          </w:r>
          <w:r>
            <w:rPr>
              <w:rFonts w:asciiTheme="minorBidi" w:hAnsiTheme="minorBidi"/>
              <w:b/>
              <w:bCs/>
              <w:sz w:val="24"/>
              <w:szCs w:val="24"/>
            </w:rPr>
            <w:t>(Dhatariya KK, 2025)</w:t>
          </w:r>
          <w:r>
            <w:rPr>
              <w:rFonts w:asciiTheme="minorBidi" w:hAnsiTheme="minorBidi"/>
              <w:b/>
              <w:bCs/>
              <w:sz w:val="24"/>
              <w:szCs w:val="24"/>
            </w:rPr>
            <w:fldChar w:fldCharType="end"/>
          </w:r>
        </w:sdtContent>
      </w:sdt>
      <w:r>
        <w:rPr>
          <w:rFonts w:asciiTheme="minorBidi" w:hAnsiTheme="minorBidi"/>
          <w:b/>
          <w:bCs/>
          <w:sz w:val="24"/>
          <w:szCs w:val="24"/>
        </w:rPr>
        <w:t>, (Antoine, 2025) :</w:t>
      </w:r>
    </w:p>
    <w:p w14:paraId="163C302C" w14:textId="77777777" w:rsidR="00502BB2" w:rsidRDefault="0069123E">
      <w:pPr>
        <w:spacing w:line="360" w:lineRule="auto"/>
        <w:jc w:val="center"/>
        <w:rPr>
          <w:rFonts w:asciiTheme="minorBidi" w:hAnsiTheme="minorBidi"/>
          <w:b/>
          <w:bCs/>
          <w:sz w:val="24"/>
          <w:szCs w:val="24"/>
          <w:lang w:val="en-US"/>
        </w:rPr>
      </w:pPr>
      <w:r>
        <w:rPr>
          <w:rFonts w:asciiTheme="minorBidi" w:hAnsiTheme="minorBidi"/>
          <w:b/>
          <w:bCs/>
          <w:sz w:val="24"/>
          <w:szCs w:val="24"/>
          <w:lang w:val="en-US"/>
        </w:rPr>
        <w:t>Anion gap (</w:t>
      </w:r>
      <w:proofErr w:type="spellStart"/>
      <w:r>
        <w:rPr>
          <w:rFonts w:asciiTheme="minorBidi" w:hAnsiTheme="minorBidi"/>
          <w:b/>
          <w:bCs/>
          <w:sz w:val="24"/>
          <w:szCs w:val="24"/>
          <w:lang w:val="en-US"/>
        </w:rPr>
        <w:t>mEq</w:t>
      </w:r>
      <w:proofErr w:type="spellEnd"/>
      <w:r>
        <w:rPr>
          <w:rFonts w:asciiTheme="minorBidi" w:hAnsiTheme="minorBidi"/>
          <w:b/>
          <w:bCs/>
          <w:sz w:val="24"/>
          <w:szCs w:val="24"/>
          <w:lang w:val="en-US"/>
        </w:rPr>
        <w:t>/L) = Na</w:t>
      </w:r>
      <w:r>
        <w:rPr>
          <w:rFonts w:ascii="Cambria Math" w:hAnsi="Cambria Math" w:cs="Cambria Math"/>
          <w:b/>
          <w:bCs/>
          <w:sz w:val="24"/>
          <w:szCs w:val="24"/>
          <w:lang w:val="en-US"/>
        </w:rPr>
        <w:t>⁺</w:t>
      </w:r>
      <w:r>
        <w:rPr>
          <w:rFonts w:asciiTheme="minorBidi" w:hAnsiTheme="minorBidi"/>
          <w:b/>
          <w:bCs/>
          <w:sz w:val="24"/>
          <w:szCs w:val="24"/>
          <w:lang w:val="en-US"/>
        </w:rPr>
        <w:t xml:space="preserve"> − (Cl</w:t>
      </w:r>
      <w:r>
        <w:rPr>
          <w:rFonts w:ascii="Cambria Math" w:hAnsi="Cambria Math" w:cs="Cambria Math"/>
          <w:b/>
          <w:bCs/>
          <w:sz w:val="24"/>
          <w:szCs w:val="24"/>
          <w:lang w:val="en-US"/>
        </w:rPr>
        <w:t>⁻</w:t>
      </w:r>
      <w:r>
        <w:rPr>
          <w:rFonts w:asciiTheme="minorBidi" w:hAnsiTheme="minorBidi"/>
          <w:b/>
          <w:bCs/>
          <w:sz w:val="24"/>
          <w:szCs w:val="24"/>
          <w:lang w:val="en-US"/>
        </w:rPr>
        <w:t xml:space="preserve"> + HCO</w:t>
      </w:r>
      <w:r>
        <w:rPr>
          <w:rFonts w:ascii="Cambria Math" w:hAnsi="Cambria Math" w:cs="Cambria Math"/>
          <w:b/>
          <w:bCs/>
          <w:sz w:val="24"/>
          <w:szCs w:val="24"/>
          <w:lang w:val="en-US"/>
        </w:rPr>
        <w:t>₃⁻</w:t>
      </w:r>
      <w:r>
        <w:rPr>
          <w:rFonts w:asciiTheme="minorBidi" w:hAnsiTheme="minorBidi"/>
          <w:b/>
          <w:bCs/>
          <w:sz w:val="24"/>
          <w:szCs w:val="24"/>
          <w:lang w:val="en-US"/>
        </w:rPr>
        <w:t>)</w:t>
      </w:r>
    </w:p>
    <w:p w14:paraId="1E10CCEC" w14:textId="77777777" w:rsidR="00502BB2" w:rsidRDefault="0069123E">
      <w:pPr>
        <w:pStyle w:val="Heading4"/>
        <w:numPr>
          <w:ilvl w:val="0"/>
          <w:numId w:val="11"/>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Osmolarité plasmatique :</w:t>
      </w:r>
    </w:p>
    <w:p w14:paraId="05923169" w14:textId="77777777" w:rsidR="00502BB2" w:rsidRDefault="0069123E">
      <w:pPr>
        <w:pStyle w:val="NormalWeb"/>
        <w:spacing w:line="360" w:lineRule="auto"/>
        <w:ind w:firstLine="501"/>
        <w:jc w:val="both"/>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t>L’osmolarité plasmatique a été estimée afin d’évaluer le degré d’hyperosmolarité pouvant contribuer à l’altération de l’état de conscience des patients. Elle a été calculée à partir de la formule suivante :</w:t>
      </w:r>
    </w:p>
    <w:p w14:paraId="547E3B0C" w14:textId="77777777" w:rsidR="00502BB2" w:rsidRDefault="0069123E">
      <w:pPr>
        <w:pStyle w:val="NormalWeb"/>
        <w:spacing w:line="360" w:lineRule="auto"/>
        <w:jc w:val="center"/>
        <w:rPr>
          <w:rFonts w:asciiTheme="minorBidi" w:eastAsiaTheme="minorHAnsi" w:hAnsiTheme="minorBidi" w:cstheme="minorBidi"/>
          <w:b/>
          <w:bCs/>
          <w:kern w:val="2"/>
          <w:lang w:eastAsia="en-US"/>
          <w14:ligatures w14:val="standardContextual"/>
        </w:rPr>
      </w:pPr>
      <w:r>
        <w:rPr>
          <w:rFonts w:asciiTheme="minorBidi" w:eastAsiaTheme="minorHAnsi" w:hAnsiTheme="minorBidi" w:cstheme="minorBidi"/>
          <w:b/>
          <w:bCs/>
          <w:kern w:val="2"/>
          <w:lang w:eastAsia="en-US"/>
          <w14:ligatures w14:val="standardContextual"/>
        </w:rPr>
        <w:t>Osmolarité plasmatique (mOsm/L) = (2 × Na</w:t>
      </w:r>
      <w:r>
        <w:rPr>
          <w:rFonts w:ascii="Cambria Math" w:eastAsiaTheme="minorHAnsi" w:hAnsi="Cambria Math" w:cs="Cambria Math"/>
          <w:b/>
          <w:bCs/>
          <w:kern w:val="2"/>
          <w:lang w:eastAsia="en-US"/>
          <w14:ligatures w14:val="standardContextual"/>
        </w:rPr>
        <w:t>⁺</w:t>
      </w:r>
      <w:r>
        <w:rPr>
          <w:rFonts w:asciiTheme="minorBidi" w:eastAsiaTheme="minorHAnsi" w:hAnsiTheme="minorBidi" w:cstheme="minorBidi"/>
          <w:b/>
          <w:bCs/>
          <w:kern w:val="2"/>
          <w:lang w:eastAsia="en-US"/>
          <w14:ligatures w14:val="standardContextual"/>
        </w:rPr>
        <w:t>) + Glycémie + Urée</w:t>
      </w:r>
    </w:p>
    <w:p w14:paraId="09AC1427" w14:textId="77777777" w:rsidR="00502BB2" w:rsidRDefault="0069123E">
      <w:pPr>
        <w:pStyle w:val="NormalWeb"/>
        <w:spacing w:line="360" w:lineRule="auto"/>
        <w:ind w:firstLine="360"/>
        <w:jc w:val="both"/>
        <w:rPr>
          <w:rFonts w:asciiTheme="minorBidi" w:eastAsiaTheme="minorHAnsi" w:hAnsiTheme="minorBidi" w:cstheme="minorBidi"/>
          <w:kern w:val="2"/>
          <w:lang w:eastAsia="en-US"/>
          <w14:ligatures w14:val="standardContextual"/>
        </w:rPr>
      </w:pPr>
      <w:r>
        <w:rPr>
          <w:rFonts w:asciiTheme="minorBidi" w:eastAsiaTheme="minorHAnsi" w:hAnsiTheme="minorBidi" w:cstheme="minorBidi"/>
          <w:kern w:val="2"/>
          <w:lang w:eastAsia="en-US"/>
          <w14:ligatures w14:val="standardContextual"/>
        </w:rPr>
        <w:t xml:space="preserve">L’augmentation de l’osmolarité plasmatique reflète l’importance de la déshydratation et des perturbations métaboliques associées à l’acidocétose diabétique et peut contribuer au développement de troubles neurologiques pouvant évoluer vers un coma. </w:t>
      </w:r>
      <w:sdt>
        <w:sdtPr>
          <w:rPr>
            <w:rFonts w:asciiTheme="minorBidi" w:eastAsiaTheme="minorHAnsi" w:hAnsiTheme="minorBidi" w:cstheme="minorBidi"/>
            <w:b/>
            <w:bCs/>
            <w:kern w:val="2"/>
            <w:lang w:eastAsia="en-US"/>
            <w14:ligatures w14:val="standardContextual"/>
          </w:rPr>
          <w:id w:val="580878836"/>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AKh05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(A. Khajuria, 2005)</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w:t>
      </w:r>
      <w:sdt>
        <w:sdtPr>
          <w:rPr>
            <w:rFonts w:asciiTheme="minorBidi" w:eastAsiaTheme="minorHAnsi" w:hAnsiTheme="minorBidi" w:cstheme="minorBidi"/>
            <w:b/>
            <w:bCs/>
            <w:kern w:val="2"/>
            <w:lang w:eastAsia="en-US"/>
            <w14:ligatures w14:val="standardContextual"/>
          </w:rPr>
          <w:id w:val="59218722"/>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Bol22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 xml:space="preserve"> (Boles, 2022)</w:t>
          </w:r>
          <w:r>
            <w:rPr>
              <w:rFonts w:asciiTheme="minorBidi" w:eastAsiaTheme="minorHAnsi" w:hAnsiTheme="minorBidi" w:cstheme="minorBidi"/>
              <w:b/>
              <w:bCs/>
              <w:kern w:val="2"/>
              <w:lang w:eastAsia="en-US"/>
              <w14:ligatures w14:val="standardContextual"/>
            </w:rPr>
            <w:fldChar w:fldCharType="end"/>
          </w:r>
        </w:sdtContent>
      </w:sdt>
      <w:r>
        <w:rPr>
          <w:rFonts w:asciiTheme="minorBidi" w:eastAsiaTheme="minorHAnsi" w:hAnsiTheme="minorBidi" w:cstheme="minorBidi"/>
          <w:b/>
          <w:bCs/>
          <w:kern w:val="2"/>
          <w:lang w:eastAsia="en-US"/>
          <w14:ligatures w14:val="standardContextual"/>
        </w:rPr>
        <w:t xml:space="preserve"> ; </w:t>
      </w:r>
      <w:sdt>
        <w:sdtPr>
          <w:rPr>
            <w:rFonts w:asciiTheme="minorBidi" w:eastAsiaTheme="minorHAnsi" w:hAnsiTheme="minorBidi" w:cstheme="minorBidi"/>
            <w:b/>
            <w:bCs/>
            <w:kern w:val="2"/>
            <w:lang w:eastAsia="en-US"/>
            <w14:ligatures w14:val="standardContextual"/>
          </w:rPr>
          <w:id w:val="28154427"/>
        </w:sdtPr>
        <w:sdtEndPr/>
        <w:sdtContent>
          <w:r>
            <w:rPr>
              <w:rFonts w:asciiTheme="minorBidi" w:eastAsiaTheme="minorHAnsi" w:hAnsiTheme="minorBidi" w:cstheme="minorBidi"/>
              <w:b/>
              <w:bCs/>
              <w:kern w:val="2"/>
              <w:lang w:eastAsia="en-US"/>
              <w14:ligatures w14:val="standardContextual"/>
            </w:rPr>
            <w:fldChar w:fldCharType="begin"/>
          </w:r>
          <w:r>
            <w:rPr>
              <w:rFonts w:asciiTheme="minorBidi" w:eastAsiaTheme="minorHAnsi" w:hAnsiTheme="minorBidi" w:cstheme="minorBidi"/>
              <w:b/>
              <w:bCs/>
              <w:kern w:val="2"/>
              <w:lang w:eastAsia="en-US"/>
              <w14:ligatures w14:val="standardContextual"/>
            </w:rPr>
            <w:instrText xml:space="preserve"> CITATION Dha25 \l 1036 </w:instrText>
          </w:r>
          <w:r>
            <w:rPr>
              <w:rFonts w:asciiTheme="minorBidi" w:eastAsiaTheme="minorHAnsi" w:hAnsiTheme="minorBidi" w:cstheme="minorBidi"/>
              <w:b/>
              <w:bCs/>
              <w:kern w:val="2"/>
              <w:lang w:eastAsia="en-US"/>
              <w14:ligatures w14:val="standardContextual"/>
            </w:rPr>
            <w:fldChar w:fldCharType="separate"/>
          </w:r>
          <w:r>
            <w:rPr>
              <w:rFonts w:asciiTheme="minorBidi" w:eastAsiaTheme="minorHAnsi" w:hAnsiTheme="minorBidi" w:cstheme="minorBidi"/>
              <w:b/>
              <w:bCs/>
              <w:kern w:val="2"/>
              <w:lang w:eastAsia="en-US"/>
              <w14:ligatures w14:val="standardContextual"/>
            </w:rPr>
            <w:t>(Dhatariya KK, 2025)</w:t>
          </w:r>
          <w:r>
            <w:rPr>
              <w:rFonts w:asciiTheme="minorBidi" w:eastAsiaTheme="minorHAnsi" w:hAnsiTheme="minorBidi" w:cstheme="minorBidi"/>
              <w:b/>
              <w:bCs/>
              <w:kern w:val="2"/>
              <w:lang w:eastAsia="en-US"/>
              <w14:ligatures w14:val="standardContextual"/>
            </w:rPr>
            <w:fldChar w:fldCharType="end"/>
          </w:r>
        </w:sdtContent>
      </w:sdt>
    </w:p>
    <w:p w14:paraId="298DD903" w14:textId="77777777" w:rsidR="00502BB2" w:rsidRDefault="0069123E">
      <w:pPr>
        <w:pStyle w:val="Heading3"/>
        <w:numPr>
          <w:ilvl w:val="0"/>
          <w:numId w:val="10"/>
        </w:numPr>
        <w:rPr>
          <w:rFonts w:asciiTheme="minorBidi" w:hAnsiTheme="minorBidi" w:cstheme="minorBidi"/>
          <w:b/>
          <w:bCs/>
          <w:color w:val="0D0D0D" w:themeColor="text1" w:themeTint="F2"/>
          <w:sz w:val="24"/>
          <w:szCs w:val="24"/>
        </w:rPr>
      </w:pPr>
      <w:bookmarkStart w:id="72" w:name="_Toc226577345"/>
      <w:r>
        <w:rPr>
          <w:rStyle w:val="Heading4Char"/>
          <w:rFonts w:asciiTheme="minorBidi" w:hAnsiTheme="minorBidi" w:cstheme="minorBidi"/>
          <w:b/>
          <w:bCs/>
          <w:color w:val="0D0D0D" w:themeColor="text1" w:themeTint="F2"/>
          <w:sz w:val="24"/>
          <w:szCs w:val="24"/>
        </w:rPr>
        <w:t>Analyse statistique</w:t>
      </w:r>
      <w:r>
        <w:rPr>
          <w:rFonts w:asciiTheme="minorBidi" w:hAnsiTheme="minorBidi" w:cstheme="minorBidi"/>
          <w:b/>
          <w:bCs/>
          <w:color w:val="0D0D0D" w:themeColor="text1" w:themeTint="F2"/>
          <w:sz w:val="24"/>
          <w:szCs w:val="24"/>
        </w:rPr>
        <w:t> :</w:t>
      </w:r>
      <w:bookmarkEnd w:id="72"/>
    </w:p>
    <w:p w14:paraId="41CB0E73"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L’analyse statistique des données recueillies a été réalisée à l’aide du logiciel Graph Pad </w:t>
      </w:r>
      <w:proofErr w:type="spellStart"/>
      <w:r>
        <w:rPr>
          <w:rFonts w:asciiTheme="minorBidi" w:hAnsiTheme="minorBidi"/>
          <w:sz w:val="24"/>
          <w:szCs w:val="24"/>
        </w:rPr>
        <w:t>Prism</w:t>
      </w:r>
      <w:proofErr w:type="spellEnd"/>
      <w:r>
        <w:rPr>
          <w:rFonts w:asciiTheme="minorBidi" w:hAnsiTheme="minorBidi"/>
          <w:sz w:val="24"/>
          <w:szCs w:val="24"/>
        </w:rPr>
        <w:t xml:space="preserve"> 10.</w:t>
      </w:r>
    </w:p>
    <w:p w14:paraId="25F61AC2"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Les données descriptives pour l’ensemble des patients ont été exprimées sous forme de moyenne ± déviation standard (DS). La déviation standard permet d’estimer la dispersion des valeurs d’un ensemble d’échantillons autour de leur moyenne.</w:t>
      </w:r>
    </w:p>
    <w:p w14:paraId="6D6D5B2B"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comparaison des variables quantitatives entre les deux groupes étudiés a été effectuée à l’aide du test t de Student. Par ailleurs, une analyse de corrélation a été réalisée afin d’identifier les paramètres biologiques les plus associés à l’altération de l’état de conscience, évaluée par le score de Glasgow.</w:t>
      </w:r>
    </w:p>
    <w:p w14:paraId="174F6088" w14:textId="77777777" w:rsidR="00502BB2" w:rsidRDefault="0069123E">
      <w:pPr>
        <w:spacing w:line="360" w:lineRule="auto"/>
        <w:ind w:firstLine="360"/>
        <w:jc w:val="both"/>
        <w:rPr>
          <w:rFonts w:asciiTheme="minorBidi" w:hAnsiTheme="minorBidi"/>
          <w:sz w:val="24"/>
          <w:szCs w:val="24"/>
        </w:rPr>
        <w:sectPr w:rsidR="00502BB2">
          <w:headerReference w:type="default" r:id="rId90"/>
          <w:footerReference w:type="default" r:id="rId91"/>
          <w:pgSz w:w="12240" w:h="15840"/>
          <w:pgMar w:top="1417" w:right="1417" w:bottom="1417" w:left="1417" w:header="720" w:footer="720" w:gutter="0"/>
          <w:cols w:space="720"/>
        </w:sectPr>
      </w:pPr>
      <w:r>
        <w:rPr>
          <w:rFonts w:asciiTheme="minorBidi" w:hAnsiTheme="minorBidi"/>
          <w:sz w:val="24"/>
          <w:szCs w:val="24"/>
        </w:rPr>
        <w:t>Le seuil de significativité statistique a été fixé à p &lt; 0,05.</w:t>
      </w:r>
    </w:p>
    <w:tbl>
      <w:tblPr>
        <w:tblpPr w:leftFromText="45" w:rightFromText="45" w:vertAnchor="text"/>
        <w:tblW w:w="0" w:type="auto"/>
        <w:tblCellSpacing w:w="0" w:type="dxa"/>
        <w:tblCellMar>
          <w:left w:w="0" w:type="dxa"/>
          <w:right w:w="0" w:type="dxa"/>
        </w:tblCellMar>
        <w:tblLook w:val="04A0" w:firstRow="1" w:lastRow="0" w:firstColumn="1" w:lastColumn="0" w:noHBand="0" w:noVBand="1"/>
      </w:tblPr>
      <w:tblGrid>
        <w:gridCol w:w="1245"/>
        <w:gridCol w:w="6"/>
      </w:tblGrid>
      <w:tr w:rsidR="00502BB2" w14:paraId="693D32AA" w14:textId="77777777">
        <w:trPr>
          <w:gridAfter w:val="1"/>
          <w:trHeight w:val="4860"/>
          <w:tblCellSpacing w:w="0" w:type="dxa"/>
        </w:trPr>
        <w:tc>
          <w:tcPr>
            <w:tcW w:w="1245" w:type="dxa"/>
            <w:vAlign w:val="center"/>
          </w:tcPr>
          <w:p w14:paraId="5B370810" w14:textId="77777777" w:rsidR="00502BB2" w:rsidRDefault="00502BB2">
            <w:pPr>
              <w:spacing w:line="360" w:lineRule="auto"/>
              <w:jc w:val="both"/>
              <w:rPr>
                <w:rFonts w:asciiTheme="minorBidi" w:hAnsiTheme="minorBidi"/>
                <w:sz w:val="24"/>
                <w:szCs w:val="24"/>
              </w:rPr>
            </w:pPr>
          </w:p>
        </w:tc>
      </w:tr>
      <w:tr w:rsidR="00502BB2" w14:paraId="12D087AC" w14:textId="77777777">
        <w:trPr>
          <w:tblCellSpacing w:w="0" w:type="dxa"/>
        </w:trPr>
        <w:tc>
          <w:tcPr>
            <w:tcW w:w="0" w:type="auto"/>
            <w:vAlign w:val="center"/>
          </w:tcPr>
          <w:p w14:paraId="6BCD9054" w14:textId="77777777" w:rsidR="00502BB2" w:rsidRDefault="00502BB2">
            <w:pPr>
              <w:spacing w:line="360" w:lineRule="auto"/>
              <w:jc w:val="both"/>
              <w:rPr>
                <w:rFonts w:asciiTheme="minorBidi" w:hAnsiTheme="minorBidi"/>
                <w:sz w:val="24"/>
                <w:szCs w:val="24"/>
              </w:rPr>
            </w:pPr>
          </w:p>
        </w:tc>
        <w:tc>
          <w:tcPr>
            <w:tcW w:w="0" w:type="auto"/>
            <w:vAlign w:val="center"/>
          </w:tcPr>
          <w:p w14:paraId="4826C7EC" w14:textId="77777777" w:rsidR="00502BB2" w:rsidRDefault="00502BB2">
            <w:pPr>
              <w:spacing w:line="360" w:lineRule="auto"/>
              <w:jc w:val="both"/>
              <w:rPr>
                <w:rFonts w:asciiTheme="minorBidi" w:hAnsiTheme="minorBidi"/>
                <w:sz w:val="24"/>
                <w:szCs w:val="24"/>
              </w:rPr>
            </w:pPr>
          </w:p>
        </w:tc>
      </w:tr>
    </w:tbl>
    <w:p w14:paraId="64F18A47" w14:textId="77777777" w:rsidR="00502BB2" w:rsidRDefault="00502BB2">
      <w:pPr>
        <w:spacing w:line="360" w:lineRule="auto"/>
        <w:jc w:val="both"/>
        <w:rPr>
          <w:rFonts w:asciiTheme="minorBidi" w:hAnsiTheme="minorBidi"/>
          <w:sz w:val="24"/>
          <w:szCs w:val="24"/>
        </w:rPr>
      </w:pPr>
    </w:p>
    <w:p w14:paraId="2152B9DC" w14:textId="77777777" w:rsidR="00502BB2" w:rsidRDefault="00502BB2">
      <w:pPr>
        <w:rPr>
          <w:rFonts w:asciiTheme="minorBidi" w:hAnsiTheme="minorBidi"/>
          <w:sz w:val="24"/>
          <w:szCs w:val="24"/>
        </w:rPr>
      </w:pPr>
    </w:p>
    <w:p w14:paraId="7DB0EE42" w14:textId="77777777" w:rsidR="00502BB2" w:rsidRDefault="00502BB2">
      <w:pPr>
        <w:rPr>
          <w:rFonts w:asciiTheme="minorBidi" w:hAnsiTheme="minorBidi"/>
          <w:sz w:val="24"/>
          <w:szCs w:val="24"/>
        </w:rPr>
      </w:pPr>
    </w:p>
    <w:p w14:paraId="07B142CE" w14:textId="77777777" w:rsidR="00502BB2" w:rsidRDefault="00502BB2">
      <w:pPr>
        <w:rPr>
          <w:rFonts w:asciiTheme="minorBidi" w:hAnsiTheme="minorBidi"/>
          <w:sz w:val="24"/>
          <w:szCs w:val="24"/>
        </w:rPr>
      </w:pPr>
    </w:p>
    <w:p w14:paraId="365C90CF" w14:textId="77777777" w:rsidR="00502BB2" w:rsidRDefault="00502BB2">
      <w:pPr>
        <w:rPr>
          <w:rFonts w:asciiTheme="minorBidi" w:hAnsiTheme="minorBidi"/>
          <w:sz w:val="24"/>
          <w:szCs w:val="24"/>
        </w:rPr>
      </w:pPr>
    </w:p>
    <w:p w14:paraId="182C22FA" w14:textId="77777777" w:rsidR="00502BB2" w:rsidRDefault="00502BB2">
      <w:pPr>
        <w:rPr>
          <w:rFonts w:asciiTheme="minorBidi" w:hAnsiTheme="minorBidi"/>
          <w:sz w:val="24"/>
          <w:szCs w:val="24"/>
        </w:rPr>
      </w:pPr>
    </w:p>
    <w:p w14:paraId="70469920" w14:textId="77777777" w:rsidR="00502BB2" w:rsidRDefault="00502BB2">
      <w:pPr>
        <w:rPr>
          <w:rFonts w:asciiTheme="minorBidi" w:hAnsiTheme="minorBidi"/>
          <w:sz w:val="24"/>
          <w:szCs w:val="24"/>
        </w:rPr>
      </w:pPr>
    </w:p>
    <w:p w14:paraId="5F6D4554" w14:textId="77777777" w:rsidR="00502BB2" w:rsidRDefault="00502BB2">
      <w:pPr>
        <w:rPr>
          <w:rFonts w:asciiTheme="minorBidi" w:hAnsiTheme="minorBidi"/>
          <w:sz w:val="24"/>
          <w:szCs w:val="24"/>
        </w:rPr>
      </w:pPr>
    </w:p>
    <w:p w14:paraId="7E098626" w14:textId="77777777" w:rsidR="00502BB2" w:rsidRDefault="00502BB2">
      <w:pPr>
        <w:rPr>
          <w:rFonts w:asciiTheme="minorBidi" w:hAnsiTheme="minorBidi"/>
          <w:sz w:val="24"/>
          <w:szCs w:val="24"/>
        </w:rPr>
      </w:pPr>
    </w:p>
    <w:p w14:paraId="4E6C4974" w14:textId="77777777" w:rsidR="00502BB2" w:rsidRDefault="0069123E">
      <w:pPr>
        <w:rPr>
          <w:rFonts w:asciiTheme="minorBidi" w:hAnsiTheme="minorBidi"/>
          <w:sz w:val="24"/>
          <w:szCs w:val="24"/>
        </w:rPr>
      </w:pPr>
      <w:r>
        <w:rPr>
          <w:noProof/>
        </w:rPr>
        <mc:AlternateContent>
          <mc:Choice Requires="wps">
            <w:drawing>
              <wp:anchor distT="0" distB="0" distL="114300" distR="114300" simplePos="0" relativeHeight="251695104" behindDoc="0" locked="0" layoutInCell="1" allowOverlap="1" wp14:anchorId="5A94495C" wp14:editId="05CF251E">
                <wp:simplePos x="0" y="0"/>
                <wp:positionH relativeFrom="margin">
                  <wp:align>right</wp:align>
                </wp:positionH>
                <wp:positionV relativeFrom="paragraph">
                  <wp:posOffset>84455</wp:posOffset>
                </wp:positionV>
                <wp:extent cx="5372100" cy="3166110"/>
                <wp:effectExtent l="895350" t="0" r="19050" b="777240"/>
                <wp:wrapNone/>
                <wp:docPr id="1601216708" name="Callout: Double Bent Line with No Border 23"/>
                <wp:cNvGraphicFramePr/>
                <a:graphic xmlns:a="http://schemas.openxmlformats.org/drawingml/2006/main">
                  <a:graphicData uri="http://schemas.microsoft.com/office/word/2010/wordprocessingShape">
                    <wps:wsp>
                      <wps:cNvSpPr/>
                      <wps:spPr>
                        <a:xfrm>
                          <a:off x="0" y="0"/>
                          <a:ext cx="5372100" cy="3166110"/>
                        </a:xfrm>
                        <a:prstGeom prst="callout3">
                          <a:avLst>
                            <a:gd name="adj1" fmla="val 18750"/>
                            <a:gd name="adj2" fmla="val -2801"/>
                            <a:gd name="adj3" fmla="val 18750"/>
                            <a:gd name="adj4" fmla="val -16667"/>
                            <a:gd name="adj5" fmla="val 100000"/>
                            <a:gd name="adj6" fmla="val -16667"/>
                            <a:gd name="adj7" fmla="val 123793"/>
                            <a:gd name="adj8" fmla="val -3014"/>
                          </a:avLst>
                        </a:prstGeom>
                        <a:ln>
                          <a:headEnd type="none" w="med" len="med"/>
                          <a:tailEnd type="none" w="med" len="med"/>
                        </a:ln>
                      </wps:spPr>
                      <wps:style>
                        <a:lnRef idx="1">
                          <a:schemeClr val="dk1"/>
                        </a:lnRef>
                        <a:fillRef idx="2">
                          <a:schemeClr val="dk1"/>
                        </a:fillRef>
                        <a:effectRef idx="1">
                          <a:schemeClr val="dk1"/>
                        </a:effectRef>
                        <a:fontRef idx="minor">
                          <a:schemeClr val="dk1"/>
                        </a:fontRef>
                      </wps:style>
                      <wps:txbx>
                        <w:txbxContent>
                          <w:p w14:paraId="428D40FA" w14:textId="77777777" w:rsidR="00502BB2" w:rsidRDefault="00502BB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A94495C" id="_x0000_s1049" type="#_x0000_t43" style="position:absolute;margin-left:371.8pt;margin-top:6.65pt;width:423pt;height:249.3pt;z-index:251695104;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d9StQIAAFAGAAAOAAAAZHJzL2Uyb0RvYy54bWysVdtuEzEQfUfiHyy/p7vezaWNuqmiliKk&#10;ilYUxLPjtbsLvmE7N76esZNsFkIpQuTBGdtnZjxnLnt5tVESrbjzrdEVJmc5RlwzU7f6qcKfPt4O&#10;zjHygeqaSqN5hbfc46vZ61eXazvlhWmMrLlDYET76dpWuAnBTrPMs4Yr6s+M5RouhXGKBti6p6x2&#10;dA3WlcyKPB9na+Nq6wzj3sPpze4Sz5J9ITgL90J4HpCsMLwtpNWldRHXbHZJp0+O2qZl+2fQf3iF&#10;oq0Gp52pGxooWrr2xJRqmTPeiHDGjMqMEC3jKQaIhuS/RPPYUMtTLECOtx1N/v+ZZe9Xj/bBAQ1r&#10;66cexBjFRjgV/+F9aJPI2nZk8U1ADA5H5aQgOXDK4K4k4zEhic7sqG6dD2+5USgKFWZUSrMMZSKK&#10;ru58SIzVSFMFpUHrLwQjoSQkYEUlIueT0SFBPUzRxwyK85zsk9jDlH3MM3aGfcwA3j+enBoa9UEQ&#10;LfxOQeM+6DlLkz6IFOXkojy1BM1yjH9Q5mQYMcDoni2QDpxG6qSOa8Np/UbXKGwtsKihzTBaV1jx&#10;GiPJoSujlOo80Fb+DRLcRNPZsSSSFLaS79x+4AK1NRQBSblM3cqvpUOQtwrXX1NKkhVARhXRStkp&#10;FX9W2mOjGk8d3Cm+4K1DJ49Gh05Rtdq4F7zu8Ieod7HGsMNmsYFgK1ykhMWjham3Dw45sxsn3rLb&#10;Fir8jvrwQB2UL3QFzMRwD4uQBpJh9hJGjXHff3ce8dDWcAvZg3lUYf9tSR3kUr7T0PAXZDiMAyxt&#10;hqNJARvXv1n0b/RSXRtIBTQUvC6JER/kQRTOqM8wOufRK1xRzcA39Ghwh8112M1JGL6Mz+cJBkPL&#10;0nCnHy07JF+b+TIY0YZYqUd29hsYWyD9NBf7+4Q6fghmPwAAAP//AwBQSwMEFAAGAAgAAAAhACLn&#10;uEraAAAABwEAAA8AAABkcnMvZG93bnJldi54bWxMjstOwzAQRfdI/IM1SOyoHQKhSeNUiMcWicIH&#10;OLGbhNrjyHabwNczrOhy7r06c+rt4iw7mRBHjxKylQBmsPN6xF7C58frzRpYTAq1sh6NhG8TYdtc&#10;XtSq0n7Gd3PapZ4RBGOlJAwpTRXnsRuMU3HlJ4PU7X1wKtEZeq6DmgnuLL8VouBOjUgfBjWZp8F0&#10;h93RSRChzBMvrW7nH/H2dXgu5pcHJeX11fK4AZbMkv7H8KdP6tCQU+uPqCOzxKAdpXkOjNr1XUFB&#10;K+E+y0rgTc3P/ZtfAAAA//8DAFBLAQItABQABgAIAAAAIQC2gziS/gAAAOEBAAATAAAAAAAAAAAA&#10;AAAAAAAAAABbQ29udGVudF9UeXBlc10ueG1sUEsBAi0AFAAGAAgAAAAhADj9If/WAAAAlAEAAAsA&#10;AAAAAAAAAAAAAAAALwEAAF9yZWxzLy5yZWxzUEsBAi0AFAAGAAgAAAAhAHJZ31K1AgAAUAYAAA4A&#10;AAAAAAAAAAAAAAAALgIAAGRycy9lMm9Eb2MueG1sUEsBAi0AFAAGAAgAAAAhACLnuEraAAAABwEA&#10;AA8AAAAAAAAAAAAAAAAADwUAAGRycy9kb3ducmV2LnhtbFBLBQYAAAAABAAEAPMAAAAWBgAAAAA=&#10;" adj="-651,26739,-3600,,-3600,,-605" fillcolor="#555 [2160]" strokecolor="black [3200]" strokeweight=".5pt">
                <v:fill color2="#313131 [2608]" rotate="t" colors="0 #9b9b9b;.5 #8e8e8e;1 #797979" focus="100%" type="gradient">
                  <o:fill v:ext="view" type="gradientUnscaled"/>
                </v:fill>
                <v:textbox>
                  <w:txbxContent>
                    <w:p w14:paraId="428D40FA" w14:textId="77777777" w:rsidR="00502BB2" w:rsidRDefault="00502BB2"/>
                  </w:txbxContent>
                </v:textbox>
                <o:callout v:ext="edit" minusx="t" minusy="t"/>
                <w10:wrap anchorx="margin"/>
              </v:shape>
            </w:pict>
          </mc:Fallback>
        </mc:AlternateContent>
      </w:r>
    </w:p>
    <w:p w14:paraId="2B4AC57A" w14:textId="77777777" w:rsidR="00502BB2" w:rsidRDefault="0069123E">
      <w:pPr>
        <w:rPr>
          <w:rFonts w:asciiTheme="minorBidi" w:hAnsiTheme="minorBidi"/>
          <w:sz w:val="24"/>
          <w:szCs w:val="24"/>
        </w:rPr>
      </w:pPr>
      <w:r>
        <w:rPr>
          <w:rFonts w:ascii="Times New Roman" w:hAnsi="Times New Roman" w:cs="Times New Roman"/>
          <w:noProof/>
          <w:kern w:val="0"/>
          <w:sz w:val="24"/>
          <w:szCs w:val="24"/>
          <w:lang w:eastAsia="fr-FR"/>
          <w14:ligatures w14:val="none"/>
        </w:rPr>
        <mc:AlternateContent>
          <mc:Choice Requires="wps">
            <w:drawing>
              <wp:anchor distT="0" distB="0" distL="114300" distR="114300" simplePos="0" relativeHeight="251696128" behindDoc="0" locked="0" layoutInCell="1" allowOverlap="1" wp14:anchorId="76CFA971" wp14:editId="17A44113">
                <wp:simplePos x="0" y="0"/>
                <wp:positionH relativeFrom="margin">
                  <wp:posOffset>-221615</wp:posOffset>
                </wp:positionH>
                <wp:positionV relativeFrom="paragraph">
                  <wp:posOffset>95885</wp:posOffset>
                </wp:positionV>
                <wp:extent cx="6781800" cy="3520440"/>
                <wp:effectExtent l="0" t="0" r="0" b="3810"/>
                <wp:wrapNone/>
                <wp:docPr id="206448128" name="Text Box 29"/>
                <wp:cNvGraphicFramePr/>
                <a:graphic xmlns:a="http://schemas.openxmlformats.org/drawingml/2006/main">
                  <a:graphicData uri="http://schemas.microsoft.com/office/word/2010/wordprocessingShape">
                    <wps:wsp>
                      <wps:cNvSpPr txBox="1"/>
                      <wps:spPr>
                        <a:xfrm>
                          <a:off x="0" y="0"/>
                          <a:ext cx="6781800" cy="35204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3BC3D891"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Partie 3. Résultats </w:t>
                            </w:r>
                          </w:p>
                          <w:p w14:paraId="635815F4"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Et Discussion </w:t>
                            </w:r>
                          </w:p>
                          <w:p w14:paraId="454F2554" w14:textId="77777777" w:rsidR="00502BB2" w:rsidRDefault="00502BB2">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 w14:anchorId="76CFA971" id="Text Box 29" o:spid="_x0000_s1050" type="#_x0000_t202" style="position:absolute;margin-left:-17.45pt;margin-top:7.55pt;width:534pt;height:277.2pt;z-index:251696128;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3jDuUgIAAPYEAAAOAAAAZHJzL2Uyb0RvYy54bWysVE2P2jAQvVfqf7B8LwmU3aWIsKKsqCqh&#10;7qq06tk4NrHqeFzbkNBfv2OHAN2etuolsed73pvx7L6tNTkI5xWYgg4HOSXCcCiV2RX0+7fVuwkl&#10;PjBTMg1GFPQoPL2fv30za+xUjKACXQpHMIjx08YWtArBTrPM80rUzA/ACoNKCa5mAa9ul5WONRi9&#10;1tkoz2+zBlxpHXDhPUofOiWdp/hSCh4epfQiEF1QrC2kr0vfbfxm8xmb7hyzleKnMtg/VFEzZTDp&#10;OdQDC4zsnforVK24Aw8yDDjUGUipuEg9YDfD/EU3m4pZkXpBcLw9w+T/X1j+5bCxT46E9iO0SGAE&#10;pLF+6lEY+2mlq+MfKyWoRwiPZ9hEGwhH4e3dZDjJUcVR9/5mlI/HCdjs4m6dD58E1CQeCuqQlwQX&#10;O6x9wJRo2pvEbAZWSuvEjTZ/CNAwSrJLjekUjlpEO22+CklUmUqNAs/dbrvUjnSc41BinT3zKRg6&#10;REOJCV/pe3KJ3iKN2iv9z04pP5hw9q+VAZcASosgYgMHhiNc/kwMYeGys++h6ACIWIR22yICBR2N&#10;ezK3UB6RYwfd+HvLVwp5WDMfnpjDeUdMcIfDI36khqagXCtLSQXu90tZtMPxQw0lDe5NQf2vPXOC&#10;Ev3Z4GB+GEb2SUiX8c3dCC/uWrO91ph9vQTsa4ivhOXpGO2D7o/SQf0DV3wRs6KKGY65Cxr64zJ0&#10;zOITwcVikYxwtSwLa7OxPIaO8BpY7ANIlYYtwtRhcoIPlyvN4OkhiNt7fU9Wl+dq/gwAAP//AwBQ&#10;SwMEFAAGAAgAAAAhAAjmn9PeAAAACwEAAA8AAABkcnMvZG93bnJldi54bWxMj8FOwzAMhu9Ie4fI&#10;SNy2ZHSdaGk6TSCuIMaGxC1rvLaicaomW8vb453gZuv/9PtzsZlcJy44hNaThuVCgUCqvG2p1rD/&#10;eJk/gAjRkDWdJ9TwgwE25eymMLn1I73jZRdrwSUUcqOhibHPpQxVg86Ehe+RODv5wZnI61BLO5iR&#10;y10n75VaS2da4guN6fGpwep7d3YaDq+nr8+VequfXdqPflKSXCa1vrudto8gIk7xD4arPqtDyU5H&#10;fyYbRKdhnqwyRjlIlyCugEoSno4a0nWWgiwL+f+H8hcAAP//AwBQSwECLQAUAAYACAAAACEAtoM4&#10;kv4AAADhAQAAEwAAAAAAAAAAAAAAAAAAAAAAW0NvbnRlbnRfVHlwZXNdLnhtbFBLAQItABQABgAI&#10;AAAAIQA4/SH/1gAAAJQBAAALAAAAAAAAAAAAAAAAAC8BAABfcmVscy8ucmVsc1BLAQItABQABgAI&#10;AAAAIQDN3jDuUgIAAPYEAAAOAAAAAAAAAAAAAAAAAC4CAABkcnMvZTJvRG9jLnhtbFBLAQItABQA&#10;BgAIAAAAIQAI5p/T3gAAAAsBAAAPAAAAAAAAAAAAAAAAAKwEAABkcnMvZG93bnJldi54bWxQSwUG&#10;AAAAAAQABADzAAAAtwUAAAAA&#10;" filled="f" stroked="f">
                <v:textbox>
                  <w:txbxContent>
                    <w:p w14:paraId="3BC3D891"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Partie 3. Résultats </w:t>
                      </w:r>
                    </w:p>
                    <w:p w14:paraId="635815F4"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Et Discussion </w:t>
                      </w:r>
                    </w:p>
                    <w:p w14:paraId="454F2554" w14:textId="77777777" w:rsidR="00502BB2" w:rsidRDefault="00502BB2">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p>
                  </w:txbxContent>
                </v:textbox>
                <w10:wrap anchorx="margin"/>
              </v:shape>
            </w:pict>
          </mc:Fallback>
        </mc:AlternateContent>
      </w:r>
    </w:p>
    <w:p w14:paraId="6E86A718" w14:textId="77777777" w:rsidR="00502BB2" w:rsidRDefault="00502BB2">
      <w:pPr>
        <w:rPr>
          <w:rFonts w:asciiTheme="minorBidi" w:hAnsiTheme="minorBidi"/>
          <w:sz w:val="24"/>
          <w:szCs w:val="24"/>
        </w:rPr>
      </w:pPr>
    </w:p>
    <w:p w14:paraId="3EC53263" w14:textId="77777777" w:rsidR="00502BB2" w:rsidRDefault="0069123E">
      <w:pPr>
        <w:tabs>
          <w:tab w:val="left" w:pos="3420"/>
        </w:tabs>
        <w:rPr>
          <w:rFonts w:asciiTheme="minorBidi" w:hAnsiTheme="minorBidi"/>
          <w:sz w:val="24"/>
          <w:szCs w:val="24"/>
        </w:rPr>
      </w:pPr>
      <w:r>
        <w:rPr>
          <w:rFonts w:asciiTheme="minorBidi" w:hAnsiTheme="minorBidi"/>
          <w:sz w:val="24"/>
          <w:szCs w:val="24"/>
        </w:rPr>
        <w:tab/>
      </w:r>
    </w:p>
    <w:p w14:paraId="2E2AE4BF" w14:textId="77777777" w:rsidR="00502BB2" w:rsidRDefault="0069123E">
      <w:pPr>
        <w:tabs>
          <w:tab w:val="left" w:pos="3420"/>
        </w:tabs>
        <w:rPr>
          <w:rFonts w:asciiTheme="minorBidi" w:hAnsiTheme="minorBidi"/>
          <w:sz w:val="24"/>
          <w:szCs w:val="24"/>
        </w:rPr>
        <w:sectPr w:rsidR="00502BB2">
          <w:headerReference w:type="default" r:id="rId92"/>
          <w:footerReference w:type="default" r:id="rId93"/>
          <w:pgSz w:w="12240" w:h="15840"/>
          <w:pgMar w:top="1417" w:right="1417" w:bottom="1417" w:left="1417" w:header="720" w:footer="720" w:gutter="0"/>
          <w:cols w:space="720"/>
        </w:sectPr>
      </w:pPr>
      <w:r>
        <w:rPr>
          <w:rFonts w:asciiTheme="minorBidi" w:hAnsiTheme="minorBidi"/>
          <w:sz w:val="24"/>
          <w:szCs w:val="24"/>
        </w:rPr>
        <w:tab/>
      </w:r>
    </w:p>
    <w:p w14:paraId="3E9632A0" w14:textId="77777777" w:rsidR="00502BB2" w:rsidRDefault="0069123E">
      <w:pPr>
        <w:pStyle w:val="Heading1"/>
        <w:jc w:val="center"/>
        <w:rPr>
          <w:rFonts w:ascii="Segoe Print" w:hAnsi="Segoe Print"/>
          <w:b/>
          <w:bCs/>
          <w:color w:val="0D0D0D" w:themeColor="text1" w:themeTint="F2"/>
          <w:sz w:val="42"/>
          <w:szCs w:val="42"/>
        </w:rPr>
      </w:pPr>
      <w:bookmarkStart w:id="73" w:name="_Toc226577346"/>
      <w:r>
        <w:rPr>
          <w:rFonts w:ascii="Segoe Print" w:hAnsi="Segoe Print"/>
          <w:b/>
          <w:bCs/>
          <w:color w:val="0D0D0D" w:themeColor="text1" w:themeTint="F2"/>
          <w:sz w:val="42"/>
          <w:szCs w:val="42"/>
        </w:rPr>
        <w:lastRenderedPageBreak/>
        <w:t>Résultats et discussion</w:t>
      </w:r>
      <w:bookmarkEnd w:id="73"/>
    </w:p>
    <w:p w14:paraId="232109A8"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Cette étude vise à évaluer, analyser et déterminer les marqueurs prédictifs du coma diabétique, en comparant deux groupes de patients : 24 patients présentant une cétose diabétique et 20 patients présentant une acidocétose diabétique compliquée de coma.</w:t>
      </w:r>
    </w:p>
    <w:p w14:paraId="457C2A3A" w14:textId="77777777" w:rsidR="00502BB2" w:rsidRDefault="0069123E">
      <w:pPr>
        <w:keepNext/>
        <w:spacing w:line="360" w:lineRule="auto"/>
      </w:pPr>
      <w:r>
        <w:rPr>
          <w:rFonts w:asciiTheme="minorBidi" w:hAnsiTheme="minorBidi"/>
          <w:b/>
          <w:bCs/>
          <w:noProof/>
          <w:sz w:val="24"/>
          <w:szCs w:val="24"/>
        </w:rPr>
        <w:drawing>
          <wp:inline distT="0" distB="0" distL="0" distR="0" wp14:anchorId="13613478" wp14:editId="1326ACC6">
            <wp:extent cx="6335395" cy="3434080"/>
            <wp:effectExtent l="0" t="0" r="8255" b="0"/>
            <wp:docPr id="1463701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701500" name="Picture 1"/>
                    <pic:cNvPicPr>
                      <a:picLocks noChangeAspect="1"/>
                    </pic:cNvPicPr>
                  </pic:nvPicPr>
                  <pic:blipFill>
                    <a:blip r:embed="rId94"/>
                    <a:stretch>
                      <a:fillRect/>
                    </a:stretch>
                  </pic:blipFill>
                  <pic:spPr>
                    <a:xfrm>
                      <a:off x="0" y="0"/>
                      <a:ext cx="6350305" cy="3442548"/>
                    </a:xfrm>
                    <a:prstGeom prst="rect">
                      <a:avLst/>
                    </a:prstGeom>
                  </pic:spPr>
                </pic:pic>
              </a:graphicData>
            </a:graphic>
          </wp:inline>
        </w:drawing>
      </w:r>
    </w:p>
    <w:p w14:paraId="476CD5C0" w14:textId="1BCB2D9C" w:rsidR="00502BB2" w:rsidRDefault="0069123E">
      <w:pPr>
        <w:pStyle w:val="Caption"/>
        <w:jc w:val="center"/>
        <w:rPr>
          <w:rFonts w:asciiTheme="minorBidi" w:hAnsiTheme="minorBidi"/>
          <w:b/>
          <w:bCs/>
          <w:sz w:val="24"/>
          <w:szCs w:val="24"/>
        </w:rPr>
      </w:pPr>
      <w:bookmarkStart w:id="74" w:name="_Toc225723031"/>
      <w:r>
        <w:rPr>
          <w:rFonts w:asciiTheme="minorBidi" w:hAnsiTheme="minorBidi"/>
          <w:sz w:val="24"/>
          <w:szCs w:val="24"/>
        </w:rPr>
        <w:t xml:space="preserve">Figure </w:t>
      </w:r>
      <w:r>
        <w:rPr>
          <w:rFonts w:asciiTheme="minorBidi" w:hAnsiTheme="minorBidi"/>
          <w:sz w:val="24"/>
          <w:szCs w:val="24"/>
        </w:rPr>
        <w:fldChar w:fldCharType="begin"/>
      </w:r>
      <w:r>
        <w:rPr>
          <w:rFonts w:asciiTheme="minorBidi" w:hAnsiTheme="minorBidi"/>
          <w:sz w:val="24"/>
          <w:szCs w:val="24"/>
        </w:rPr>
        <w:instrText xml:space="preserve"> SEQ Figure \* ARABIC </w:instrText>
      </w:r>
      <w:r>
        <w:rPr>
          <w:rFonts w:asciiTheme="minorBidi" w:hAnsiTheme="minorBidi"/>
          <w:sz w:val="24"/>
          <w:szCs w:val="24"/>
        </w:rPr>
        <w:fldChar w:fldCharType="separate"/>
      </w:r>
      <w:r w:rsidR="003462B7">
        <w:rPr>
          <w:rFonts w:asciiTheme="minorBidi" w:hAnsiTheme="minorBidi"/>
          <w:noProof/>
          <w:sz w:val="24"/>
          <w:szCs w:val="24"/>
        </w:rPr>
        <w:t>27</w:t>
      </w:r>
      <w:r>
        <w:rPr>
          <w:rFonts w:asciiTheme="minorBidi" w:hAnsiTheme="minorBidi"/>
          <w:sz w:val="24"/>
          <w:szCs w:val="24"/>
        </w:rPr>
        <w:fldChar w:fldCharType="end"/>
      </w:r>
      <w:r>
        <w:rPr>
          <w:rFonts w:asciiTheme="minorBidi" w:hAnsiTheme="minorBidi"/>
          <w:sz w:val="24"/>
          <w:szCs w:val="24"/>
        </w:rPr>
        <w:t xml:space="preserve"> : Répartition globale et par groupe du sexe des patients</w:t>
      </w:r>
      <w:bookmarkEnd w:id="74"/>
    </w:p>
    <w:p w14:paraId="3551090F"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Au total, 44 patients ont été recrutés au niveau du CHU de Tlemcen. Parmi eux, 28 (63,63 %) étaient des femmes et 16 (36,36 %) des hommes.</w:t>
      </w:r>
    </w:p>
    <w:p w14:paraId="00D543EB" w14:textId="77777777" w:rsidR="00502BB2" w:rsidRDefault="0069123E">
      <w:pPr>
        <w:spacing w:line="360" w:lineRule="auto"/>
        <w:ind w:firstLine="708"/>
        <w:jc w:val="both"/>
        <w:rPr>
          <w:rFonts w:asciiTheme="minorBidi" w:hAnsiTheme="minorBidi"/>
          <w:b/>
          <w:bCs/>
          <w:sz w:val="24"/>
          <w:szCs w:val="24"/>
        </w:rPr>
      </w:pPr>
      <w:r>
        <w:rPr>
          <w:rFonts w:asciiTheme="minorBidi" w:hAnsiTheme="minorBidi"/>
          <w:sz w:val="24"/>
          <w:szCs w:val="24"/>
        </w:rPr>
        <w:t>Dans le service de médecine interne, les femmes représentaient 16 cas (66,66 %) contre 8 hommes (33,33 %). En réanimation-anesthésie, 12 femmes (60 %) et 8 hommes (40 %) ont été recensés</w:t>
      </w:r>
      <w:r>
        <w:rPr>
          <w:rFonts w:asciiTheme="minorBidi" w:hAnsiTheme="minorBidi"/>
          <w:b/>
          <w:bCs/>
          <w:sz w:val="24"/>
          <w:szCs w:val="24"/>
        </w:rPr>
        <w:t xml:space="preserve"> (figure 27).</w:t>
      </w:r>
    </w:p>
    <w:p w14:paraId="109B3C15"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 sexe féminin était prédominant dans notre population d’étude, avec une sex-ratio (H/F) de 0,57. Ce ratio était de 0,5 en médecine interne et de 0,66 en réanimation-anesthésie.</w:t>
      </w:r>
    </w:p>
    <w:p w14:paraId="2E5C9D77" w14:textId="77777777" w:rsidR="00502BB2" w:rsidRDefault="0069123E">
      <w:pPr>
        <w:keepNext/>
        <w:spacing w:line="360" w:lineRule="auto"/>
        <w:jc w:val="center"/>
      </w:pPr>
      <w:r>
        <w:rPr>
          <w:rFonts w:asciiTheme="minorBidi" w:hAnsiTheme="minorBidi"/>
          <w:sz w:val="24"/>
          <w:szCs w:val="24"/>
        </w:rPr>
        <w:object w:dxaOrig="8039" w:dyaOrig="6662" w14:anchorId="4DBEDE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2pt;height:333.45pt" o:ole="">
            <v:imagedata r:id="rId95" o:title=""/>
          </v:shape>
          <o:OLEObject Type="Embed" ProgID="Prism10.Document" ShapeID="_x0000_i1025" DrawAspect="Content" ObjectID="_1842872860" r:id="rId96"/>
        </w:object>
      </w:r>
    </w:p>
    <w:p w14:paraId="3211A72D" w14:textId="120787AD" w:rsidR="00502BB2" w:rsidRDefault="0069123E">
      <w:pPr>
        <w:pStyle w:val="Caption"/>
        <w:jc w:val="center"/>
        <w:rPr>
          <w:rFonts w:asciiTheme="minorBidi" w:hAnsiTheme="minorBidi"/>
          <w:sz w:val="24"/>
          <w:szCs w:val="24"/>
        </w:rPr>
      </w:pPr>
      <w:bookmarkStart w:id="75" w:name="_Toc225723032"/>
      <w:r>
        <w:rPr>
          <w:rFonts w:asciiTheme="minorBidi" w:hAnsiTheme="minorBidi"/>
          <w:sz w:val="24"/>
          <w:szCs w:val="24"/>
        </w:rPr>
        <w:t xml:space="preserve">Figure </w:t>
      </w:r>
      <w:r>
        <w:rPr>
          <w:rFonts w:asciiTheme="minorBidi" w:hAnsiTheme="minorBidi"/>
          <w:sz w:val="24"/>
          <w:szCs w:val="24"/>
        </w:rPr>
        <w:fldChar w:fldCharType="begin"/>
      </w:r>
      <w:r>
        <w:rPr>
          <w:rFonts w:asciiTheme="minorBidi" w:hAnsiTheme="minorBidi"/>
          <w:sz w:val="24"/>
          <w:szCs w:val="24"/>
        </w:rPr>
        <w:instrText xml:space="preserve"> SEQ Figure \* ARABIC </w:instrText>
      </w:r>
      <w:r>
        <w:rPr>
          <w:rFonts w:asciiTheme="minorBidi" w:hAnsiTheme="minorBidi"/>
          <w:sz w:val="24"/>
          <w:szCs w:val="24"/>
        </w:rPr>
        <w:fldChar w:fldCharType="separate"/>
      </w:r>
      <w:r w:rsidR="003462B7">
        <w:rPr>
          <w:rFonts w:asciiTheme="minorBidi" w:hAnsiTheme="minorBidi"/>
          <w:noProof/>
          <w:sz w:val="24"/>
          <w:szCs w:val="24"/>
        </w:rPr>
        <w:t>28</w:t>
      </w:r>
      <w:r>
        <w:rPr>
          <w:rFonts w:asciiTheme="minorBidi" w:hAnsiTheme="minorBidi"/>
          <w:sz w:val="24"/>
          <w:szCs w:val="24"/>
        </w:rPr>
        <w:fldChar w:fldCharType="end"/>
      </w:r>
      <w:r>
        <w:rPr>
          <w:rFonts w:asciiTheme="minorBidi" w:hAnsiTheme="minorBidi"/>
          <w:sz w:val="24"/>
          <w:szCs w:val="24"/>
        </w:rPr>
        <w:t xml:space="preserve"> : Figure de la moyenne des âges des patients</w:t>
      </w:r>
      <w:bookmarkEnd w:id="75"/>
      <w:r>
        <w:rPr>
          <w:rFonts w:asciiTheme="minorBidi" w:hAnsiTheme="minorBidi"/>
          <w:sz w:val="24"/>
          <w:szCs w:val="24"/>
        </w:rPr>
        <w:t xml:space="preserve"> </w:t>
      </w:r>
    </w:p>
    <w:p w14:paraId="6A47295F"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28</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par le test non paramétrique de Mann–Whitney.</w:t>
      </w:r>
    </w:p>
    <w:p w14:paraId="470B16A9"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La répartition de la population étudiée selon les tranches d’âge montre que l’âge moyen des patients était de 33,05 ± 4,7 ans au niveau du service de réanimation et de 39,21 ± 3,19 ans en médecine interne (figure 20). La population étudiée présentait une large amplitude d’âge, allant de 10 à 75 ans.</w:t>
      </w:r>
    </w:p>
    <w:p w14:paraId="0F713E32"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 xml:space="preserve">Les patients présentaient différents types de diabète. Au niveau du service de réanimation, une prédominance du diabète de type 1 a été observée (50 %), suivie du diabète de type 2 (25 %) et du diabète inaugural (25 %). En revanche, au niveau du service de médecine interne, une prédominance du diabète de type 2 a </w:t>
      </w:r>
      <w:r>
        <w:rPr>
          <w:rFonts w:asciiTheme="minorBidi" w:hAnsiTheme="minorBidi"/>
          <w:sz w:val="24"/>
          <w:szCs w:val="24"/>
        </w:rPr>
        <w:lastRenderedPageBreak/>
        <w:t>été notée (41,66 %), suivie du diabète de type 1 (33,33 %) et du diabète inaugural (25 %).</w:t>
      </w:r>
    </w:p>
    <w:p w14:paraId="066BADC1" w14:textId="77777777" w:rsidR="00502BB2" w:rsidRDefault="0069123E">
      <w:pPr>
        <w:spacing w:line="360" w:lineRule="auto"/>
        <w:ind w:right="625" w:firstLine="360"/>
        <w:rPr>
          <w:rFonts w:asciiTheme="minorBidi" w:hAnsiTheme="minorBidi"/>
          <w:sz w:val="24"/>
          <w:szCs w:val="24"/>
        </w:rPr>
      </w:pPr>
      <w:r>
        <w:rPr>
          <w:rFonts w:asciiTheme="minorBidi" w:hAnsiTheme="minorBidi"/>
          <w:sz w:val="24"/>
          <w:szCs w:val="24"/>
        </w:rPr>
        <w:t>La durée du diabète variait de manière importante selon les patients, allant d’une semaine à quatre mois pour les cas de diabète inaugural, et de 1 à 30 ans pour les diabètes de type 1 et de type 2.</w:t>
      </w:r>
    </w:p>
    <w:p w14:paraId="6BF57152" w14:textId="77777777" w:rsidR="00502BB2" w:rsidRDefault="0069123E">
      <w:pPr>
        <w:pStyle w:val="Heading2"/>
        <w:numPr>
          <w:ilvl w:val="0"/>
          <w:numId w:val="12"/>
        </w:numPr>
        <w:rPr>
          <w:rFonts w:asciiTheme="minorBidi" w:hAnsiTheme="minorBidi" w:cstheme="minorBidi"/>
          <w:b/>
          <w:bCs/>
          <w:color w:val="0D0D0D" w:themeColor="text1" w:themeTint="F2"/>
          <w:sz w:val="28"/>
          <w:szCs w:val="28"/>
        </w:rPr>
      </w:pPr>
      <w:r>
        <w:rPr>
          <w:rFonts w:asciiTheme="minorBidi" w:hAnsiTheme="minorBidi" w:cstheme="minorBidi"/>
          <w:b/>
          <w:bCs/>
          <w:color w:val="0D0D0D" w:themeColor="text1" w:themeTint="F2"/>
        </w:rPr>
        <w:t xml:space="preserve"> </w:t>
      </w:r>
      <w:bookmarkStart w:id="76" w:name="_Toc226577347"/>
      <w:r>
        <w:rPr>
          <w:rFonts w:asciiTheme="minorBidi" w:hAnsiTheme="minorBidi" w:cstheme="minorBidi"/>
          <w:b/>
          <w:bCs/>
          <w:color w:val="0D0D0D" w:themeColor="text1" w:themeTint="F2"/>
          <w:sz w:val="28"/>
          <w:szCs w:val="28"/>
        </w:rPr>
        <w:t>Enquête par questionnaire</w:t>
      </w:r>
      <w:bookmarkEnd w:id="76"/>
      <w:r>
        <w:rPr>
          <w:rFonts w:asciiTheme="minorBidi" w:hAnsiTheme="minorBidi" w:cstheme="minorBidi"/>
          <w:b/>
          <w:bCs/>
          <w:color w:val="0D0D0D" w:themeColor="text1" w:themeTint="F2"/>
          <w:sz w:val="28"/>
          <w:szCs w:val="28"/>
        </w:rPr>
        <w:t xml:space="preserve"> </w:t>
      </w:r>
    </w:p>
    <w:p w14:paraId="42093712" w14:textId="77777777" w:rsidR="00502BB2" w:rsidRDefault="00502BB2"/>
    <w:p w14:paraId="7692971C" w14:textId="77777777" w:rsidR="00502BB2" w:rsidRDefault="0069123E">
      <w:pPr>
        <w:keepNext/>
        <w:jc w:val="center"/>
      </w:pPr>
      <w:r>
        <w:rPr>
          <w:noProof/>
        </w:rPr>
        <w:drawing>
          <wp:inline distT="0" distB="0" distL="0" distR="0" wp14:anchorId="2E783081" wp14:editId="53E9A080">
            <wp:extent cx="5972810" cy="3246120"/>
            <wp:effectExtent l="0" t="0" r="8890" b="0"/>
            <wp:docPr id="1874497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97397" name="Picture 1"/>
                    <pic:cNvPicPr>
                      <a:picLocks noChangeAspect="1"/>
                    </pic:cNvPicPr>
                  </pic:nvPicPr>
                  <pic:blipFill>
                    <a:blip r:embed="rId97"/>
                    <a:stretch>
                      <a:fillRect/>
                    </a:stretch>
                  </pic:blipFill>
                  <pic:spPr>
                    <a:xfrm>
                      <a:off x="0" y="0"/>
                      <a:ext cx="5972810" cy="3246120"/>
                    </a:xfrm>
                    <a:prstGeom prst="rect">
                      <a:avLst/>
                    </a:prstGeom>
                  </pic:spPr>
                </pic:pic>
              </a:graphicData>
            </a:graphic>
          </wp:inline>
        </w:drawing>
      </w:r>
    </w:p>
    <w:p w14:paraId="70BC0AC0" w14:textId="77777777" w:rsidR="00502BB2" w:rsidRDefault="0069123E">
      <w:pPr>
        <w:pStyle w:val="Caption"/>
        <w:jc w:val="center"/>
        <w:rPr>
          <w:rFonts w:asciiTheme="minorBidi" w:hAnsiTheme="minorBidi"/>
          <w:sz w:val="24"/>
          <w:szCs w:val="24"/>
        </w:rPr>
      </w:pPr>
      <w:r>
        <w:rPr>
          <w:rFonts w:asciiTheme="minorBidi" w:hAnsiTheme="minorBidi"/>
          <w:b/>
          <w:bCs/>
          <w:sz w:val="24"/>
          <w:szCs w:val="24"/>
        </w:rPr>
        <w:t xml:space="preserve">Figure 29 </w:t>
      </w:r>
      <w:r>
        <w:rPr>
          <w:rFonts w:asciiTheme="minorBidi" w:hAnsiTheme="minorBidi"/>
          <w:sz w:val="24"/>
          <w:szCs w:val="24"/>
        </w:rPr>
        <w:t xml:space="preserve">: Répartition globale et par groupe du sexe des patients </w:t>
      </w:r>
      <w:proofErr w:type="spellStart"/>
      <w:r>
        <w:rPr>
          <w:rFonts w:asciiTheme="minorBidi" w:hAnsiTheme="minorBidi"/>
          <w:sz w:val="24"/>
          <w:szCs w:val="24"/>
        </w:rPr>
        <w:t>parraport</w:t>
      </w:r>
      <w:proofErr w:type="spellEnd"/>
      <w:r>
        <w:rPr>
          <w:rFonts w:asciiTheme="minorBidi" w:hAnsiTheme="minorBidi"/>
          <w:sz w:val="24"/>
          <w:szCs w:val="24"/>
        </w:rPr>
        <w:t xml:space="preserve"> au questionnaire</w:t>
      </w:r>
    </w:p>
    <w:p w14:paraId="78F55212"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L’enquête par questionnaire a permis de mettre en évidence que l’atteinte était plus marquée chez les femmes (59,38 %) par rapport aux hommes (40,63 %) (</w:t>
      </w:r>
      <w:r>
        <w:rPr>
          <w:rFonts w:asciiTheme="minorBidi" w:hAnsiTheme="minorBidi"/>
          <w:b/>
          <w:bCs/>
          <w:sz w:val="24"/>
          <w:szCs w:val="24"/>
        </w:rPr>
        <w:t>figure 29)</w:t>
      </w:r>
      <w:r>
        <w:rPr>
          <w:rFonts w:asciiTheme="minorBidi" w:hAnsiTheme="minorBidi"/>
          <w:sz w:val="24"/>
          <w:szCs w:val="24"/>
        </w:rPr>
        <w:t>, avec la présence de différents types de diabète a été observée, notamment le diabète de type 1 (37,50 %), le diabète de type 2 (40,63 %) et le diabète inaugural (21,88 %) (</w:t>
      </w:r>
      <w:r>
        <w:rPr>
          <w:rFonts w:asciiTheme="minorBidi" w:hAnsiTheme="minorBidi"/>
          <w:b/>
          <w:bCs/>
          <w:sz w:val="24"/>
          <w:szCs w:val="24"/>
        </w:rPr>
        <w:t>figure 30)</w:t>
      </w:r>
      <w:r>
        <w:rPr>
          <w:rFonts w:asciiTheme="minorBidi" w:hAnsiTheme="minorBidi"/>
          <w:sz w:val="24"/>
          <w:szCs w:val="24"/>
        </w:rPr>
        <w:t xml:space="preserve">. </w:t>
      </w:r>
    </w:p>
    <w:p w14:paraId="765A7326" w14:textId="77777777" w:rsidR="00502BB2" w:rsidRDefault="00502BB2"/>
    <w:p w14:paraId="07006754" w14:textId="77777777" w:rsidR="00502BB2" w:rsidRDefault="0069123E">
      <w:pPr>
        <w:keepNext/>
        <w:jc w:val="center"/>
      </w:pPr>
      <w:r>
        <w:rPr>
          <w:noProof/>
        </w:rPr>
        <w:lastRenderedPageBreak/>
        <w:drawing>
          <wp:inline distT="0" distB="0" distL="0" distR="0" wp14:anchorId="44BF2DF5" wp14:editId="7552F993">
            <wp:extent cx="5972810" cy="3348990"/>
            <wp:effectExtent l="0" t="0" r="8890" b="3810"/>
            <wp:docPr id="18930570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3588B1FF" w14:textId="6EA97E09" w:rsidR="00502BB2" w:rsidRDefault="0069123E">
      <w:pPr>
        <w:pStyle w:val="Caption"/>
        <w:jc w:val="center"/>
        <w:rPr>
          <w:rFonts w:asciiTheme="minorBidi" w:hAnsiTheme="minorBidi"/>
          <w:sz w:val="24"/>
          <w:szCs w:val="24"/>
        </w:rPr>
      </w:pPr>
      <w:bookmarkStart w:id="77" w:name="_Toc225723033"/>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29</w:t>
      </w:r>
      <w:r>
        <w:rPr>
          <w:rFonts w:asciiTheme="minorBidi" w:hAnsiTheme="minorBidi"/>
          <w:b/>
          <w:bCs/>
          <w:sz w:val="24"/>
          <w:szCs w:val="24"/>
        </w:rPr>
        <w:fldChar w:fldCharType="end"/>
      </w:r>
      <w:r>
        <w:rPr>
          <w:rFonts w:asciiTheme="minorBidi" w:hAnsiTheme="minorBidi"/>
          <w:b/>
          <w:bCs/>
          <w:sz w:val="24"/>
          <w:szCs w:val="24"/>
        </w:rPr>
        <w:t>:</w:t>
      </w:r>
      <w:r>
        <w:rPr>
          <w:rFonts w:asciiTheme="minorBidi" w:hAnsiTheme="minorBidi"/>
          <w:sz w:val="24"/>
          <w:szCs w:val="24"/>
        </w:rPr>
        <w:t xml:space="preserve"> Répartition des types de diabètes</w:t>
      </w:r>
      <w:bookmarkEnd w:id="77"/>
    </w:p>
    <w:p w14:paraId="58214B1E"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Ces formes peuvent évoluer vers un état de cétose diabétique, principalement observé au niveau du service de médecine interne (65,62 %), puis s’aggraver en acidocétose diabétique associée à une altération de la conscience, retrouvée au niveau du service de réanimation (34,38 %) (</w:t>
      </w:r>
      <w:r>
        <w:rPr>
          <w:rFonts w:asciiTheme="minorBidi" w:hAnsiTheme="minorBidi"/>
          <w:b/>
          <w:bCs/>
          <w:sz w:val="24"/>
          <w:szCs w:val="24"/>
        </w:rPr>
        <w:t>figure 29</w:t>
      </w:r>
      <w:r>
        <w:rPr>
          <w:rFonts w:asciiTheme="minorBidi" w:hAnsiTheme="minorBidi"/>
          <w:sz w:val="24"/>
          <w:szCs w:val="24"/>
        </w:rPr>
        <w:t xml:space="preserve">). </w:t>
      </w:r>
    </w:p>
    <w:p w14:paraId="104BA2AE" w14:textId="4637EF2F"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La majorité des patients présentait un diabète ancien, appuyé par des valeurs élevées de l’HbA1c, sans différence significative entre les cas de diabète de type 1 (11,45 ± 1,55 %), de diabète de type 2 (12,64 ± 0,45 %) et de diabète inaugural (12,43 ± 1,3 %), suggérant une évolution silencieuse préalable (</w:t>
      </w:r>
      <w:r>
        <w:rPr>
          <w:rFonts w:asciiTheme="minorBidi" w:hAnsiTheme="minorBidi"/>
          <w:b/>
          <w:bCs/>
          <w:sz w:val="24"/>
          <w:szCs w:val="24"/>
        </w:rPr>
        <w:t>figure 3</w:t>
      </w:r>
      <w:r w:rsidR="003462B7">
        <w:rPr>
          <w:rFonts w:asciiTheme="minorBidi" w:hAnsiTheme="minorBidi"/>
          <w:b/>
          <w:bCs/>
          <w:sz w:val="24"/>
          <w:szCs w:val="24"/>
        </w:rPr>
        <w:t>0</w:t>
      </w:r>
      <w:r>
        <w:rPr>
          <w:rFonts w:asciiTheme="minorBidi" w:hAnsiTheme="minorBidi"/>
          <w:sz w:val="24"/>
          <w:szCs w:val="24"/>
        </w:rPr>
        <w:t>). La présence d’antécédents familiaux chez plusieurs patients constitue également un facteur de risque d’atteinte.</w:t>
      </w:r>
    </w:p>
    <w:p w14:paraId="40ACAC73" w14:textId="77777777" w:rsidR="00502BB2" w:rsidRDefault="0069123E">
      <w:pPr>
        <w:keepNext/>
        <w:jc w:val="center"/>
      </w:pPr>
      <w:r>
        <w:object w:dxaOrig="7643" w:dyaOrig="6551" w14:anchorId="0B3D79FC">
          <v:shape id="_x0000_i1026" type="#_x0000_t75" style="width:382.3pt;height:327.45pt" o:ole="">
            <v:imagedata r:id="rId99" o:title=""/>
          </v:shape>
          <o:OLEObject Type="Embed" ProgID="Prism10.Document" ShapeID="_x0000_i1026" DrawAspect="Content" ObjectID="_1842872861" r:id="rId100"/>
        </w:object>
      </w:r>
    </w:p>
    <w:p w14:paraId="3B609D4E" w14:textId="34FE224F" w:rsidR="00502BB2" w:rsidRDefault="0069123E">
      <w:pPr>
        <w:pStyle w:val="Caption"/>
        <w:jc w:val="center"/>
        <w:rPr>
          <w:rFonts w:asciiTheme="minorBidi" w:hAnsiTheme="minorBidi"/>
          <w:sz w:val="24"/>
          <w:szCs w:val="24"/>
        </w:rPr>
      </w:pPr>
      <w:bookmarkStart w:id="78" w:name="_Toc225723034"/>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30</w:t>
      </w:r>
      <w:r>
        <w:rPr>
          <w:rFonts w:asciiTheme="minorBidi" w:hAnsiTheme="minorBidi"/>
          <w:b/>
          <w:bCs/>
          <w:sz w:val="24"/>
          <w:szCs w:val="24"/>
        </w:rPr>
        <w:fldChar w:fldCharType="end"/>
      </w:r>
      <w:r>
        <w:rPr>
          <w:rFonts w:asciiTheme="minorBidi" w:hAnsiTheme="minorBidi"/>
          <w:sz w:val="24"/>
          <w:szCs w:val="24"/>
        </w:rPr>
        <w:t xml:space="preserve"> : Figure de la moyenne des HbA1c des différents types de diabètes</w:t>
      </w:r>
      <w:bookmarkEnd w:id="78"/>
    </w:p>
    <w:p w14:paraId="047F97E6" w14:textId="213B303B" w:rsidR="00502BB2" w:rsidRDefault="0069123E">
      <w:pPr>
        <w:spacing w:line="360" w:lineRule="auto"/>
        <w:ind w:right="50"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3</w:t>
      </w:r>
      <w:r w:rsidR="003462B7">
        <w:rPr>
          <w:rFonts w:asciiTheme="minorBidi" w:hAnsiTheme="minorBidi"/>
          <w:b/>
          <w:bCs/>
          <w:sz w:val="24"/>
          <w:szCs w:val="24"/>
        </w:rPr>
        <w:t>0</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trois populations (p &gt; 0,05), déterminée par le test ANOVA one </w:t>
      </w:r>
      <w:proofErr w:type="spellStart"/>
      <w:r>
        <w:rPr>
          <w:rFonts w:asciiTheme="minorBidi" w:hAnsiTheme="minorBidi"/>
          <w:sz w:val="24"/>
          <w:szCs w:val="24"/>
        </w:rPr>
        <w:t>way</w:t>
      </w:r>
      <w:proofErr w:type="spellEnd"/>
      <w:r>
        <w:rPr>
          <w:rFonts w:asciiTheme="minorBidi" w:hAnsiTheme="minorBidi"/>
          <w:sz w:val="24"/>
          <w:szCs w:val="24"/>
        </w:rPr>
        <w:t>.</w:t>
      </w:r>
    </w:p>
    <w:p w14:paraId="2DF30EE0" w14:textId="77777777" w:rsidR="00502BB2" w:rsidRDefault="00502BB2">
      <w:pPr>
        <w:spacing w:line="360" w:lineRule="auto"/>
        <w:jc w:val="both"/>
        <w:rPr>
          <w:rFonts w:asciiTheme="minorBidi" w:hAnsiTheme="minorBidi"/>
          <w:sz w:val="24"/>
          <w:szCs w:val="24"/>
        </w:rPr>
      </w:pPr>
    </w:p>
    <w:p w14:paraId="608E6351"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Par ailleurs, l’ensemble des patients présentait des symptômes similaires lors de l’hospitalisation, notamment une anorexie, une perte de poids et une déshydratation, associées à une asthénie, des vomissements, des douleurs abdominales, une dyspnée, une polypnée, une polyurie-polydipsie, une respiration de Kussmaul et une haleine cétonique. Ces manifestations traduisent une élévation des corps cétoniques et un état d’acidose, comme décrit dans la partie bibliographique. Certains patients présentaient égalem</w:t>
      </w:r>
      <w:r>
        <w:rPr>
          <w:rFonts w:asciiTheme="minorBidi" w:hAnsiTheme="minorBidi"/>
          <w:sz w:val="24"/>
          <w:szCs w:val="24"/>
        </w:rPr>
        <w:t>ent des états infectieux pouvant favoriser ou aggraver la décompensation, tels qu’un syndrome grippal ou une infection génitale. D’autres cas ont révélé un arrêt du traitement insulinique.</w:t>
      </w:r>
    </w:p>
    <w:p w14:paraId="51850041" w14:textId="77777777" w:rsidR="00502BB2" w:rsidRDefault="0069123E">
      <w:pPr>
        <w:spacing w:line="360" w:lineRule="auto"/>
        <w:ind w:firstLine="360"/>
        <w:jc w:val="both"/>
        <w:rPr>
          <w:rFonts w:asciiTheme="minorBidi" w:hAnsiTheme="minorBidi"/>
          <w:b/>
          <w:bCs/>
          <w:sz w:val="24"/>
          <w:szCs w:val="24"/>
        </w:rPr>
      </w:pPr>
      <w:r>
        <w:rPr>
          <w:rFonts w:asciiTheme="minorBidi" w:hAnsiTheme="minorBidi"/>
          <w:sz w:val="24"/>
          <w:szCs w:val="24"/>
        </w:rPr>
        <w:lastRenderedPageBreak/>
        <w:t>Concernant la prise en charge thérapeutique, tous les patients suivaient un schéma basé sur l’insulinothérapie (insuline rapide et lente), associé à des antidiabétiques oraux tels que le Glucophage et la metformine, selon la prescription médicale. En outre, plusieurs patients recevaient des traitements pour des pathologies associées, notamment l’hypertension artérielle, la bronchite,</w:t>
      </w:r>
      <w:r>
        <w:rPr>
          <w:rFonts w:asciiTheme="minorBidi" w:hAnsiTheme="minorBidi"/>
          <w:b/>
          <w:bCs/>
          <w:sz w:val="24"/>
          <w:szCs w:val="24"/>
        </w:rPr>
        <w:t xml:space="preserve"> </w:t>
      </w:r>
      <w:r>
        <w:rPr>
          <w:rFonts w:asciiTheme="minorBidi" w:hAnsiTheme="minorBidi"/>
          <w:sz w:val="24"/>
          <w:szCs w:val="24"/>
        </w:rPr>
        <w:t>la cholestase, le goitre, la</w:t>
      </w:r>
      <w:r>
        <w:rPr>
          <w:rFonts w:asciiTheme="minorBidi" w:hAnsiTheme="minorBidi"/>
          <w:b/>
          <w:bCs/>
          <w:sz w:val="24"/>
          <w:szCs w:val="24"/>
        </w:rPr>
        <w:t xml:space="preserve"> </w:t>
      </w:r>
      <w:r>
        <w:rPr>
          <w:rFonts w:asciiTheme="minorBidi" w:hAnsiTheme="minorBidi"/>
          <w:sz w:val="24"/>
          <w:szCs w:val="24"/>
        </w:rPr>
        <w:t>dyslipidémie et</w:t>
      </w:r>
      <w:r>
        <w:rPr>
          <w:rFonts w:asciiTheme="minorBidi" w:hAnsiTheme="minorBidi"/>
          <w:b/>
          <w:bCs/>
          <w:sz w:val="24"/>
          <w:szCs w:val="24"/>
        </w:rPr>
        <w:t xml:space="preserve"> </w:t>
      </w:r>
      <w:r>
        <w:rPr>
          <w:rFonts w:asciiTheme="minorBidi" w:hAnsiTheme="minorBidi"/>
          <w:sz w:val="24"/>
          <w:szCs w:val="24"/>
        </w:rPr>
        <w:t>l’hypothyroïdie, ainsi que des traitements à visée neurologique ou psychiatrique (anxiolytiques, antidépresseurs, traitements de l’épilepsie, de la démence ou de la schizophrénie). Ces éléments constituent des facteurs de risque potentiels favorisant le déclenchement d’une acidocétose diabétique, comme discuté dans la partie bibliographique (</w:t>
      </w:r>
      <w:r>
        <w:rPr>
          <w:rFonts w:asciiTheme="minorBidi" w:hAnsiTheme="minorBidi"/>
          <w:b/>
          <w:bCs/>
          <w:sz w:val="24"/>
          <w:szCs w:val="24"/>
        </w:rPr>
        <w:t>tableau 10, Annexe3</w:t>
      </w:r>
      <w:r>
        <w:rPr>
          <w:rFonts w:asciiTheme="minorBidi" w:hAnsiTheme="minorBidi"/>
          <w:sz w:val="24"/>
          <w:szCs w:val="24"/>
        </w:rPr>
        <w:t>).</w:t>
      </w:r>
    </w:p>
    <w:p w14:paraId="766791AE" w14:textId="77777777" w:rsidR="00502BB2" w:rsidRDefault="0069123E">
      <w:pPr>
        <w:pStyle w:val="Heading2"/>
        <w:numPr>
          <w:ilvl w:val="0"/>
          <w:numId w:val="12"/>
        </w:numPr>
        <w:rPr>
          <w:rFonts w:asciiTheme="minorBidi" w:hAnsiTheme="minorBidi" w:cstheme="minorBidi"/>
          <w:b/>
          <w:bCs/>
          <w:color w:val="0D0D0D" w:themeColor="text1" w:themeTint="F2"/>
          <w:sz w:val="28"/>
          <w:szCs w:val="28"/>
        </w:rPr>
      </w:pPr>
      <w:bookmarkStart w:id="79" w:name="_Toc226577348"/>
      <w:r>
        <w:rPr>
          <w:rFonts w:asciiTheme="minorBidi" w:hAnsiTheme="minorBidi" w:cstheme="minorBidi"/>
          <w:b/>
          <w:bCs/>
          <w:color w:val="0D0D0D" w:themeColor="text1" w:themeTint="F2"/>
          <w:sz w:val="28"/>
          <w:szCs w:val="28"/>
        </w:rPr>
        <w:t>Variables étudiées</w:t>
      </w:r>
      <w:bookmarkEnd w:id="79"/>
      <w:r>
        <w:rPr>
          <w:rFonts w:asciiTheme="minorBidi" w:hAnsiTheme="minorBidi" w:cstheme="minorBidi"/>
          <w:b/>
          <w:bCs/>
          <w:color w:val="0D0D0D" w:themeColor="text1" w:themeTint="F2"/>
          <w:sz w:val="28"/>
          <w:szCs w:val="28"/>
        </w:rPr>
        <w:t> </w:t>
      </w:r>
    </w:p>
    <w:p w14:paraId="7E4CB8C4"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80" w:name="_Toc226577349"/>
      <w:r>
        <w:rPr>
          <w:rFonts w:asciiTheme="minorBidi" w:hAnsiTheme="minorBidi" w:cstheme="minorBidi"/>
          <w:b/>
          <w:bCs/>
          <w:color w:val="0D0D0D" w:themeColor="text1" w:themeTint="F2"/>
          <w:sz w:val="24"/>
          <w:szCs w:val="24"/>
        </w:rPr>
        <w:t>La glycémie :</w:t>
      </w:r>
      <w:bookmarkEnd w:id="80"/>
    </w:p>
    <w:p w14:paraId="60594172" w14:textId="77777777" w:rsidR="00502BB2" w:rsidRDefault="0069123E">
      <w:pPr>
        <w:keepNext/>
        <w:spacing w:line="360" w:lineRule="auto"/>
        <w:jc w:val="center"/>
      </w:pPr>
      <w:r>
        <w:rPr>
          <w:rFonts w:asciiTheme="minorBidi" w:hAnsiTheme="minorBidi"/>
          <w:sz w:val="24"/>
          <w:szCs w:val="24"/>
        </w:rPr>
        <w:object w:dxaOrig="7865" w:dyaOrig="5997" w14:anchorId="507D7C82">
          <v:shape id="_x0000_i1027" type="#_x0000_t75" style="width:392.55pt;height:300pt" o:ole="">
            <v:imagedata r:id="rId101" o:title=""/>
          </v:shape>
          <o:OLEObject Type="Embed" ProgID="Prism10.Document" ShapeID="_x0000_i1027" DrawAspect="Content" ObjectID="_1842872862" r:id="rId102"/>
        </w:object>
      </w:r>
    </w:p>
    <w:p w14:paraId="5B309132" w14:textId="3B8700C0" w:rsidR="00502BB2" w:rsidRDefault="0069123E">
      <w:pPr>
        <w:pStyle w:val="Caption"/>
        <w:jc w:val="center"/>
        <w:rPr>
          <w:rFonts w:asciiTheme="minorBidi" w:hAnsiTheme="minorBidi"/>
          <w:b/>
          <w:bCs/>
          <w:sz w:val="24"/>
          <w:szCs w:val="24"/>
        </w:rPr>
      </w:pPr>
      <w:bookmarkStart w:id="81" w:name="_Toc225723035"/>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31</w:t>
      </w:r>
      <w:r>
        <w:rPr>
          <w:rFonts w:asciiTheme="minorBidi" w:hAnsiTheme="minorBidi"/>
          <w:b/>
          <w:bCs/>
          <w:sz w:val="24"/>
          <w:szCs w:val="24"/>
        </w:rPr>
        <w:fldChar w:fldCharType="end"/>
      </w:r>
      <w:r>
        <w:rPr>
          <w:rFonts w:asciiTheme="minorBidi" w:hAnsiTheme="minorBidi"/>
          <w:b/>
          <w:bCs/>
          <w:sz w:val="24"/>
          <w:szCs w:val="24"/>
        </w:rPr>
        <w:t xml:space="preserve"> : Figure des moyennes de la glycémie</w:t>
      </w:r>
      <w:bookmarkEnd w:id="81"/>
    </w:p>
    <w:p w14:paraId="713F22BF" w14:textId="420AE46A"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3</w:t>
      </w:r>
      <w:r w:rsidR="003462B7">
        <w:rPr>
          <w:rFonts w:asciiTheme="minorBidi" w:hAnsiTheme="minorBidi"/>
          <w:b/>
          <w:bCs/>
          <w:sz w:val="24"/>
          <w:szCs w:val="24"/>
        </w:rPr>
        <w:t>1</w:t>
      </w:r>
      <w:r>
        <w:rPr>
          <w:rFonts w:asciiTheme="minorBidi" w:hAnsiTheme="minorBidi"/>
          <w:sz w:val="24"/>
          <w:szCs w:val="24"/>
        </w:rPr>
        <w:t xml:space="preserve">) sont exprimées sous forme de moyennes ± écart-type. Le nombre d’étoiles indique le niveau de différence significative entre </w:t>
      </w:r>
      <w:r>
        <w:rPr>
          <w:rFonts w:asciiTheme="minorBidi" w:hAnsiTheme="minorBidi"/>
          <w:sz w:val="24"/>
          <w:szCs w:val="24"/>
        </w:rPr>
        <w:lastRenderedPageBreak/>
        <w:t>les deux populations (p &lt; 0,05), déterminé par le test non paramétrique de Mann–Whitney.</w:t>
      </w:r>
    </w:p>
    <w:p w14:paraId="1E24F5B2"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La glycémie, selon la figure 21, montre une différence hautement significative entre les patients de réanimation (5,916 ± 0,412 g/L) et ceux de médecine interne (3,56 ± 1,615 g/L), ces valeurs étant largement supérieures à l’intervalle physiologique (0,7–1,10 g/L).</w:t>
      </w:r>
    </w:p>
    <w:p w14:paraId="0AF26E55" w14:textId="7A07B9C7" w:rsidR="00502BB2" w:rsidRDefault="0069123E" w:rsidP="003462B7">
      <w:pPr>
        <w:spacing w:line="360" w:lineRule="auto"/>
        <w:ind w:right="625" w:firstLine="708"/>
        <w:jc w:val="both"/>
        <w:rPr>
          <w:rFonts w:asciiTheme="minorBidi" w:hAnsiTheme="minorBidi"/>
          <w:sz w:val="24"/>
          <w:szCs w:val="24"/>
        </w:rPr>
      </w:pPr>
      <w:r>
        <w:rPr>
          <w:rFonts w:asciiTheme="minorBidi" w:hAnsiTheme="minorBidi"/>
          <w:sz w:val="24"/>
          <w:szCs w:val="24"/>
        </w:rPr>
        <w:t>Ces résultats indiquent que les patients présentant une acidocétose diabétique (réanimation) ont une glyc</w:t>
      </w:r>
      <w:r w:rsidR="00B5315A">
        <w:rPr>
          <w:rFonts w:asciiTheme="minorBidi" w:hAnsiTheme="minorBidi"/>
          <w:sz w:val="24"/>
          <w:szCs w:val="24"/>
        </w:rPr>
        <w:t>émie plus élevée que ceux présentant une cétose diabétique (médecine interne). Cette élévation peut s’expliquer par un déficit relatif ou absolu en insuline, pouvant être lié à l’arrêt du traitement antidiabétique, à une mauvaise observance thérapeutique, ou encore à l’utilisation de traitements hyperglycémiants ou antagonistes de l’insuline tels que les glucocorticoïdes, les anxiolytiques et les antidépresseurs.</w:t>
      </w:r>
    </w:p>
    <w:p w14:paraId="117F5CFE"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Cette hyperglycémie contribue à l’altération du microenvironnement de l’organisme, affectant son fonctionnement et ses besoins énergétiques. Au niveau du système nerveux central, cela peut induire une perturbation de l’activité neuronale, notamment du système pyramidal, impliquant des neurones fortement dépendants de la disponibilité en ATP.</w:t>
      </w:r>
    </w:p>
    <w:p w14:paraId="5E1F32E5"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82" w:name="_Toc226577350"/>
      <w:r>
        <w:rPr>
          <w:rFonts w:asciiTheme="minorBidi" w:hAnsiTheme="minorBidi" w:cstheme="minorBidi"/>
          <w:b/>
          <w:bCs/>
          <w:color w:val="0D0D0D" w:themeColor="text1" w:themeTint="F2"/>
          <w:sz w:val="24"/>
          <w:szCs w:val="24"/>
        </w:rPr>
        <w:lastRenderedPageBreak/>
        <w:t>L’hémoglobine glyquée :</w:t>
      </w:r>
      <w:bookmarkEnd w:id="82"/>
    </w:p>
    <w:p w14:paraId="6DF064FD" w14:textId="77777777" w:rsidR="00502BB2" w:rsidRDefault="0069123E">
      <w:pPr>
        <w:pStyle w:val="ListParagraph"/>
        <w:keepNext/>
        <w:spacing w:line="360" w:lineRule="auto"/>
        <w:ind w:right="625"/>
        <w:jc w:val="center"/>
      </w:pPr>
      <w:r>
        <w:rPr>
          <w:rFonts w:asciiTheme="minorBidi" w:hAnsiTheme="minorBidi"/>
          <w:sz w:val="24"/>
          <w:szCs w:val="24"/>
        </w:rPr>
        <w:object w:dxaOrig="7453" w:dyaOrig="5697" w14:anchorId="791E5766">
          <v:shape id="_x0000_i1028" type="#_x0000_t75" style="width:372.85pt;height:285.45pt" o:ole="">
            <v:imagedata r:id="rId103" o:title=""/>
          </v:shape>
          <o:OLEObject Type="Embed" ProgID="Prism10.Document" ShapeID="_x0000_i1028" DrawAspect="Content" ObjectID="_1842872863" r:id="rId104"/>
        </w:object>
      </w:r>
    </w:p>
    <w:p w14:paraId="3A5F2A08" w14:textId="7F924A21" w:rsidR="00502BB2" w:rsidRDefault="0069123E">
      <w:pPr>
        <w:pStyle w:val="Caption"/>
        <w:jc w:val="center"/>
        <w:rPr>
          <w:rFonts w:asciiTheme="minorBidi" w:hAnsiTheme="minorBidi"/>
          <w:b/>
          <w:bCs/>
          <w:sz w:val="24"/>
          <w:szCs w:val="24"/>
        </w:rPr>
      </w:pPr>
      <w:bookmarkStart w:id="83" w:name="_Toc225723036"/>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32</w:t>
      </w:r>
      <w:r>
        <w:rPr>
          <w:rFonts w:asciiTheme="minorBidi" w:hAnsiTheme="minorBidi"/>
          <w:b/>
          <w:bCs/>
          <w:sz w:val="24"/>
          <w:szCs w:val="24"/>
        </w:rPr>
        <w:fldChar w:fldCharType="end"/>
      </w:r>
      <w:r>
        <w:rPr>
          <w:rFonts w:asciiTheme="minorBidi" w:hAnsiTheme="minorBidi"/>
          <w:b/>
          <w:bCs/>
          <w:sz w:val="24"/>
          <w:szCs w:val="24"/>
        </w:rPr>
        <w:t xml:space="preserve"> : </w:t>
      </w:r>
      <w:r>
        <w:rPr>
          <w:rFonts w:asciiTheme="minorBidi" w:hAnsiTheme="minorBidi"/>
          <w:sz w:val="24"/>
          <w:szCs w:val="24"/>
        </w:rPr>
        <w:t>Figure des moyennes de HbA1c</w:t>
      </w:r>
      <w:bookmarkEnd w:id="83"/>
    </w:p>
    <w:p w14:paraId="6FDC52F0" w14:textId="5FEF7FEA"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Les valeurs présentées (</w:t>
      </w:r>
      <w:r w:rsidRPr="003462B7">
        <w:rPr>
          <w:rFonts w:asciiTheme="minorBidi" w:hAnsiTheme="minorBidi"/>
          <w:b/>
          <w:bCs/>
          <w:sz w:val="24"/>
          <w:szCs w:val="24"/>
        </w:rPr>
        <w:t>figure 3</w:t>
      </w:r>
      <w:r w:rsidR="003462B7" w:rsidRPr="003462B7">
        <w:rPr>
          <w:rFonts w:asciiTheme="minorBidi" w:hAnsiTheme="minorBidi"/>
          <w:b/>
          <w:bCs/>
          <w:sz w:val="24"/>
          <w:szCs w:val="24"/>
        </w:rPr>
        <w:t>2</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t de Student.</w:t>
      </w:r>
    </w:p>
    <w:p w14:paraId="7266BFD0" w14:textId="77777777" w:rsidR="00502BB2" w:rsidRDefault="0069123E">
      <w:pPr>
        <w:spacing w:line="360" w:lineRule="auto"/>
        <w:ind w:left="-1" w:right="625" w:firstLine="361"/>
        <w:jc w:val="both"/>
        <w:rPr>
          <w:rFonts w:asciiTheme="minorBidi" w:hAnsiTheme="minorBidi"/>
          <w:sz w:val="24"/>
          <w:szCs w:val="24"/>
        </w:rPr>
      </w:pPr>
      <w:r>
        <w:rPr>
          <w:rFonts w:asciiTheme="minorBidi" w:hAnsiTheme="minorBidi"/>
          <w:sz w:val="24"/>
          <w:szCs w:val="24"/>
        </w:rPr>
        <w:t>L’hémoglobine glyquée (HbA1c), qui reflète la glycémie moyenne sur les 2 à 3 derniers mois et constitue un indicateur de l’équilibre glycémique, ne montre pas de différence significative entre les deux groupes. Toutefois, les valeurs observées au niveau du service de réanimation (13,13 ± 0,72 %) sont supérieures à celles du service de médecine interne (11,91 ± 0,45 %), et restent largement au-dessus de la norme clinique (&lt; 6 %).</w:t>
      </w:r>
    </w:p>
    <w:p w14:paraId="6AD98DDD"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Ces résultats indiquent que l’ensemble des patients présentait un diabète déséquilibré. Cette altération de l’équilibre glycémique peut s’expliquer par une mauvaise gestion de la maladie, notamment en termes de traitement et de régime alimentaire, ou par une méconnaissance préalable de la pathologie dans les cas de diabète inaugural.</w:t>
      </w:r>
    </w:p>
    <w:p w14:paraId="37244881"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84" w:name="_Toc226577351"/>
      <w:r>
        <w:rPr>
          <w:rFonts w:asciiTheme="minorBidi" w:hAnsiTheme="minorBidi" w:cstheme="minorBidi"/>
          <w:b/>
          <w:bCs/>
          <w:color w:val="0D0D0D" w:themeColor="text1" w:themeTint="F2"/>
          <w:sz w:val="24"/>
          <w:szCs w:val="24"/>
        </w:rPr>
        <w:lastRenderedPageBreak/>
        <w:t>Chimie des urines :</w:t>
      </w:r>
      <w:bookmarkEnd w:id="84"/>
    </w:p>
    <w:p w14:paraId="05FE4207" w14:textId="77777777" w:rsidR="00502BB2" w:rsidRDefault="00502BB2">
      <w:pPr>
        <w:pStyle w:val="ListParagraph"/>
        <w:spacing w:line="360" w:lineRule="auto"/>
        <w:ind w:right="625"/>
        <w:rPr>
          <w:rFonts w:asciiTheme="minorBidi" w:hAnsiTheme="minorBidi"/>
          <w:sz w:val="24"/>
          <w:szCs w:val="24"/>
        </w:rPr>
      </w:pPr>
    </w:p>
    <w:p w14:paraId="0637ACC3" w14:textId="77777777" w:rsidR="00502BB2" w:rsidRDefault="0069123E">
      <w:pPr>
        <w:keepNext/>
        <w:spacing w:line="360" w:lineRule="auto"/>
        <w:ind w:left="-1" w:right="625"/>
        <w:jc w:val="center"/>
      </w:pPr>
      <w:r>
        <w:rPr>
          <w:rFonts w:asciiTheme="minorBidi" w:hAnsiTheme="minorBidi"/>
          <w:sz w:val="24"/>
          <w:szCs w:val="24"/>
        </w:rPr>
        <w:object w:dxaOrig="8640" w:dyaOrig="4557" w14:anchorId="1C0BCB88">
          <v:shape id="_x0000_i1029" type="#_x0000_t75" style="width:6in;height:228pt" o:ole="">
            <v:imagedata r:id="rId105" o:title=""/>
          </v:shape>
          <o:OLEObject Type="Embed" ProgID="Prism10.Document" ShapeID="_x0000_i1029" DrawAspect="Content" ObjectID="_1842872864" r:id="rId106"/>
        </w:object>
      </w:r>
    </w:p>
    <w:p w14:paraId="20EB5A62" w14:textId="337CA3C1" w:rsidR="00502BB2" w:rsidRDefault="0069123E">
      <w:pPr>
        <w:pStyle w:val="Caption"/>
        <w:jc w:val="center"/>
        <w:rPr>
          <w:rFonts w:asciiTheme="minorBidi" w:hAnsiTheme="minorBidi"/>
          <w:sz w:val="24"/>
          <w:szCs w:val="24"/>
        </w:rPr>
      </w:pPr>
      <w:bookmarkStart w:id="85" w:name="_Toc225723037"/>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33</w:t>
      </w:r>
      <w:r>
        <w:rPr>
          <w:rFonts w:asciiTheme="minorBidi" w:hAnsiTheme="minorBidi"/>
          <w:b/>
          <w:bCs/>
          <w:sz w:val="24"/>
          <w:szCs w:val="24"/>
        </w:rPr>
        <w:fldChar w:fldCharType="end"/>
      </w:r>
      <w:r>
        <w:rPr>
          <w:rFonts w:asciiTheme="minorBidi" w:hAnsiTheme="minorBidi"/>
          <w:sz w:val="24"/>
          <w:szCs w:val="24"/>
        </w:rPr>
        <w:t xml:space="preserve"> : Figure des moyennes d'acétonurie et glucosurie</w:t>
      </w:r>
      <w:bookmarkEnd w:id="85"/>
    </w:p>
    <w:p w14:paraId="7FF71526" w14:textId="7E0DA4C4"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3</w:t>
      </w:r>
      <w:r w:rsidR="003462B7">
        <w:rPr>
          <w:rFonts w:asciiTheme="minorBidi" w:hAnsiTheme="minorBidi"/>
          <w:b/>
          <w:bCs/>
          <w:sz w:val="24"/>
          <w:szCs w:val="24"/>
        </w:rPr>
        <w:t>3</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non paramétrique de Mann–Whitney.</w:t>
      </w:r>
    </w:p>
    <w:p w14:paraId="44F351CF"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La chimie des urines permet de mettre en évidence la présence des corps cétoniques et du glucose à l’aide de bandelettes urinaires. L’analyse statistique montre qu’il n’existe pas de différence significative entre les deux populations, aussi bien pour la cétonurie que pour la glucosurie.</w:t>
      </w:r>
    </w:p>
    <w:p w14:paraId="4596478B"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Cependant, il est observé que la cétonurie est plus élevée chez les patients du service de réanimation (107,8 ± 8,05) comparativement à ceux de médecine interne (80,68 ± 9,468). À l’inverse, la glucosurie apparaît légèrement plus faible en réanimation (618,4 ± 72,47) qu’en médecine interne (693,2 ± 63,56). Ces deux paramètres sont absents chez les sujets sains.</w:t>
      </w:r>
    </w:p>
    <w:p w14:paraId="31437511"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 xml:space="preserve">Ces résultats peuvent s’expliquer par le fait que la cétonurie et la glucosurie sont présentes à la fois dans la cétose diabétique et dans l’acidocétose diabétique, </w:t>
      </w:r>
      <w:r>
        <w:rPr>
          <w:rFonts w:asciiTheme="minorBidi" w:hAnsiTheme="minorBidi"/>
          <w:sz w:val="24"/>
          <w:szCs w:val="24"/>
        </w:rPr>
        <w:lastRenderedPageBreak/>
        <w:t>ce qui limite leur capacité à discriminer la gravité de l’état métabolique. En effet, la cétonurie reflète principalement la présence d’acétoacétate, alors que l’acidose est majoritairement liée au β-hydroxybutyrate, qui n’est pas détecté par les bandelettes urinaires.</w:t>
      </w:r>
    </w:p>
    <w:p w14:paraId="03EED14A"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 xml:space="preserve">Par ailleurs, la variation du débit urinaire peut influencer la concentration de ces paramètres. Les patients en réanimation présentaient majoritairement une oligurie sévère (100–1000 </w:t>
      </w:r>
      <w:proofErr w:type="spellStart"/>
      <w:r>
        <w:rPr>
          <w:rFonts w:asciiTheme="minorBidi" w:hAnsiTheme="minorBidi"/>
          <w:sz w:val="24"/>
          <w:szCs w:val="24"/>
        </w:rPr>
        <w:t>mL</w:t>
      </w:r>
      <w:proofErr w:type="spellEnd"/>
      <w:r>
        <w:rPr>
          <w:rFonts w:asciiTheme="minorBidi" w:hAnsiTheme="minorBidi"/>
          <w:sz w:val="24"/>
          <w:szCs w:val="24"/>
        </w:rPr>
        <w:t xml:space="preserve">/jour), alors que ceux de médecine interne conservaient une diurèse plus proche des valeurs normales (1200–2000 </w:t>
      </w:r>
      <w:proofErr w:type="spellStart"/>
      <w:r>
        <w:rPr>
          <w:rFonts w:asciiTheme="minorBidi" w:hAnsiTheme="minorBidi"/>
          <w:sz w:val="24"/>
          <w:szCs w:val="24"/>
        </w:rPr>
        <w:t>mL</w:t>
      </w:r>
      <w:proofErr w:type="spellEnd"/>
      <w:r>
        <w:rPr>
          <w:rFonts w:asciiTheme="minorBidi" w:hAnsiTheme="minorBidi"/>
          <w:sz w:val="24"/>
          <w:szCs w:val="24"/>
        </w:rPr>
        <w:t>/jour), ce qui peut expliquer en partie les différences observées entre les deux groupes.</w:t>
      </w:r>
    </w:p>
    <w:p w14:paraId="7BDFBBA0"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86" w:name="_Toc226577352"/>
      <w:r>
        <w:rPr>
          <w:rFonts w:asciiTheme="minorBidi" w:hAnsiTheme="minorBidi" w:cstheme="minorBidi"/>
          <w:b/>
          <w:bCs/>
          <w:color w:val="0D0D0D" w:themeColor="text1" w:themeTint="F2"/>
          <w:sz w:val="24"/>
          <w:szCs w:val="24"/>
        </w:rPr>
        <w:t>Gazométrie</w:t>
      </w:r>
      <w:bookmarkEnd w:id="86"/>
    </w:p>
    <w:p w14:paraId="512DEEB9" w14:textId="77777777" w:rsidR="00502BB2" w:rsidRDefault="0069123E">
      <w:pPr>
        <w:pStyle w:val="Heading4"/>
        <w:numPr>
          <w:ilvl w:val="0"/>
          <w:numId w:val="14"/>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Saturation d’oxygènes sao2 :</w:t>
      </w:r>
    </w:p>
    <w:p w14:paraId="6A2C03F3" w14:textId="77777777" w:rsidR="00502BB2" w:rsidRDefault="0069123E">
      <w:pPr>
        <w:keepNext/>
        <w:spacing w:line="360" w:lineRule="auto"/>
        <w:ind w:right="625"/>
        <w:jc w:val="center"/>
      </w:pPr>
      <w:r>
        <w:rPr>
          <w:rFonts w:asciiTheme="minorBidi" w:hAnsiTheme="minorBidi"/>
          <w:sz w:val="24"/>
          <w:szCs w:val="24"/>
        </w:rPr>
        <w:object w:dxaOrig="7516" w:dyaOrig="5713" w14:anchorId="0B8BF468">
          <v:shape id="_x0000_i1030" type="#_x0000_t75" style="width:376.3pt;height:286.3pt" o:ole="">
            <v:imagedata r:id="rId107" o:title=""/>
          </v:shape>
          <o:OLEObject Type="Embed" ProgID="Prism10.Document" ShapeID="_x0000_i1030" DrawAspect="Content" ObjectID="_1842872865" r:id="rId108"/>
        </w:object>
      </w:r>
    </w:p>
    <w:p w14:paraId="35A06BD4" w14:textId="7FD9B132" w:rsidR="00502BB2" w:rsidRDefault="0069123E">
      <w:pPr>
        <w:pStyle w:val="Caption"/>
        <w:jc w:val="center"/>
        <w:rPr>
          <w:rFonts w:asciiTheme="minorBidi" w:hAnsiTheme="minorBidi"/>
          <w:sz w:val="24"/>
          <w:szCs w:val="24"/>
        </w:rPr>
      </w:pPr>
      <w:bookmarkStart w:id="87" w:name="_Toc225723038"/>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34</w:t>
      </w:r>
      <w:r>
        <w:rPr>
          <w:rFonts w:asciiTheme="minorBidi" w:hAnsiTheme="minorBidi"/>
          <w:b/>
          <w:bCs/>
          <w:sz w:val="24"/>
          <w:szCs w:val="24"/>
        </w:rPr>
        <w:fldChar w:fldCharType="end"/>
      </w:r>
      <w:r>
        <w:rPr>
          <w:rFonts w:asciiTheme="minorBidi" w:hAnsiTheme="minorBidi"/>
          <w:sz w:val="24"/>
          <w:szCs w:val="24"/>
        </w:rPr>
        <w:t xml:space="preserve"> : figure des moyennes de Spo2</w:t>
      </w:r>
      <w:bookmarkEnd w:id="87"/>
      <w:r>
        <w:rPr>
          <w:rFonts w:asciiTheme="minorBidi" w:hAnsiTheme="minorBidi"/>
          <w:b/>
          <w:bCs/>
          <w:sz w:val="24"/>
          <w:szCs w:val="24"/>
        </w:rPr>
        <w:t xml:space="preserve"> </w:t>
      </w:r>
    </w:p>
    <w:p w14:paraId="665562BB" w14:textId="2ACF20BF"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3</w:t>
      </w:r>
      <w:r w:rsidR="003462B7">
        <w:rPr>
          <w:rFonts w:asciiTheme="minorBidi" w:hAnsiTheme="minorBidi"/>
          <w:b/>
          <w:bCs/>
          <w:sz w:val="24"/>
          <w:szCs w:val="24"/>
        </w:rPr>
        <w:t>4</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non paramétrique de Mann–Whitney.</w:t>
      </w:r>
    </w:p>
    <w:p w14:paraId="74B97B0B"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lastRenderedPageBreak/>
        <w:t>La saturation artérielle en oxygène (SaO</w:t>
      </w:r>
      <w:r>
        <w:rPr>
          <w:rFonts w:ascii="Cambria Math" w:hAnsi="Cambria Math" w:cs="Cambria Math"/>
          <w:sz w:val="24"/>
          <w:szCs w:val="24"/>
        </w:rPr>
        <w:t>₂</w:t>
      </w:r>
      <w:r>
        <w:rPr>
          <w:rFonts w:asciiTheme="minorBidi" w:hAnsiTheme="minorBidi"/>
          <w:sz w:val="24"/>
          <w:szCs w:val="24"/>
        </w:rPr>
        <w:t>), qui repr</w:t>
      </w:r>
      <w:r>
        <w:rPr>
          <w:rFonts w:ascii="Arial" w:hAnsi="Arial" w:cs="Arial"/>
          <w:sz w:val="24"/>
          <w:szCs w:val="24"/>
        </w:rPr>
        <w:t>é</w:t>
      </w:r>
      <w:r>
        <w:rPr>
          <w:rFonts w:asciiTheme="minorBidi" w:hAnsiTheme="minorBidi"/>
          <w:sz w:val="24"/>
          <w:szCs w:val="24"/>
        </w:rPr>
        <w:t>sente le pourcentage d</w:t>
      </w:r>
      <w:r>
        <w:rPr>
          <w:rFonts w:ascii="Arial" w:hAnsi="Arial" w:cs="Arial"/>
          <w:sz w:val="24"/>
          <w:szCs w:val="24"/>
        </w:rPr>
        <w:t>’</w:t>
      </w:r>
      <w:r>
        <w:rPr>
          <w:rFonts w:asciiTheme="minorBidi" w:hAnsiTheme="minorBidi"/>
          <w:sz w:val="24"/>
          <w:szCs w:val="24"/>
        </w:rPr>
        <w:t>h</w:t>
      </w:r>
      <w:r>
        <w:rPr>
          <w:rFonts w:ascii="Arial" w:hAnsi="Arial" w:cs="Arial"/>
          <w:sz w:val="24"/>
          <w:szCs w:val="24"/>
        </w:rPr>
        <w:t>é</w:t>
      </w:r>
      <w:r>
        <w:rPr>
          <w:rFonts w:asciiTheme="minorBidi" w:hAnsiTheme="minorBidi"/>
          <w:sz w:val="24"/>
          <w:szCs w:val="24"/>
        </w:rPr>
        <w:t>moglobine oxyg</w:t>
      </w:r>
      <w:r>
        <w:rPr>
          <w:rFonts w:ascii="Arial" w:hAnsi="Arial" w:cs="Arial"/>
          <w:sz w:val="24"/>
          <w:szCs w:val="24"/>
        </w:rPr>
        <w:t>é</w:t>
      </w:r>
      <w:r>
        <w:rPr>
          <w:rFonts w:asciiTheme="minorBidi" w:hAnsiTheme="minorBidi"/>
          <w:sz w:val="24"/>
          <w:szCs w:val="24"/>
        </w:rPr>
        <w:t>n</w:t>
      </w:r>
      <w:r>
        <w:rPr>
          <w:rFonts w:ascii="Arial" w:hAnsi="Arial" w:cs="Arial"/>
          <w:sz w:val="24"/>
          <w:szCs w:val="24"/>
        </w:rPr>
        <w:t>é</w:t>
      </w:r>
      <w:r>
        <w:rPr>
          <w:rFonts w:asciiTheme="minorBidi" w:hAnsiTheme="minorBidi"/>
          <w:sz w:val="24"/>
          <w:szCs w:val="24"/>
        </w:rPr>
        <w:t xml:space="preserve">e par rapport </w:t>
      </w:r>
      <w:r>
        <w:rPr>
          <w:rFonts w:ascii="Arial" w:hAnsi="Arial" w:cs="Arial"/>
          <w:sz w:val="24"/>
          <w:szCs w:val="24"/>
        </w:rPr>
        <w:t>à</w:t>
      </w:r>
      <w:r>
        <w:rPr>
          <w:rFonts w:asciiTheme="minorBidi" w:hAnsiTheme="minorBidi"/>
          <w:sz w:val="24"/>
          <w:szCs w:val="24"/>
        </w:rPr>
        <w:t xml:space="preserve"> l</w:t>
      </w:r>
      <w:r>
        <w:rPr>
          <w:rFonts w:ascii="Arial" w:hAnsi="Arial" w:cs="Arial"/>
          <w:sz w:val="24"/>
          <w:szCs w:val="24"/>
        </w:rPr>
        <w:t>’</w:t>
      </w:r>
      <w:r>
        <w:rPr>
          <w:rFonts w:asciiTheme="minorBidi" w:hAnsiTheme="minorBidi"/>
          <w:sz w:val="24"/>
          <w:szCs w:val="24"/>
        </w:rPr>
        <w:t>h</w:t>
      </w:r>
      <w:r>
        <w:rPr>
          <w:rFonts w:ascii="Arial" w:hAnsi="Arial" w:cs="Arial"/>
          <w:sz w:val="24"/>
          <w:szCs w:val="24"/>
        </w:rPr>
        <w:t>é</w:t>
      </w:r>
      <w:r>
        <w:rPr>
          <w:rFonts w:asciiTheme="minorBidi" w:hAnsiTheme="minorBidi"/>
          <w:sz w:val="24"/>
          <w:szCs w:val="24"/>
        </w:rPr>
        <w:t>moglobine totale dans le sang art</w:t>
      </w:r>
      <w:r>
        <w:rPr>
          <w:rFonts w:ascii="Arial" w:hAnsi="Arial" w:cs="Arial"/>
          <w:sz w:val="24"/>
          <w:szCs w:val="24"/>
        </w:rPr>
        <w:t>é</w:t>
      </w:r>
      <w:r>
        <w:rPr>
          <w:rFonts w:asciiTheme="minorBidi" w:hAnsiTheme="minorBidi"/>
          <w:sz w:val="24"/>
          <w:szCs w:val="24"/>
        </w:rPr>
        <w:t>riel, ne montre pas de diff</w:t>
      </w:r>
      <w:r>
        <w:rPr>
          <w:rFonts w:ascii="Arial" w:hAnsi="Arial" w:cs="Arial"/>
          <w:sz w:val="24"/>
          <w:szCs w:val="24"/>
        </w:rPr>
        <w:t>é</w:t>
      </w:r>
      <w:r>
        <w:rPr>
          <w:rFonts w:asciiTheme="minorBidi" w:hAnsiTheme="minorBidi"/>
          <w:sz w:val="24"/>
          <w:szCs w:val="24"/>
        </w:rPr>
        <w:t>rence significative entre les deux groupes. Toutefois, une diminution relative est observ</w:t>
      </w:r>
      <w:r>
        <w:rPr>
          <w:rFonts w:ascii="Arial" w:hAnsi="Arial" w:cs="Arial"/>
          <w:sz w:val="24"/>
          <w:szCs w:val="24"/>
        </w:rPr>
        <w:t>é</w:t>
      </w:r>
      <w:r>
        <w:rPr>
          <w:rFonts w:asciiTheme="minorBidi" w:hAnsiTheme="minorBidi"/>
          <w:sz w:val="24"/>
          <w:szCs w:val="24"/>
        </w:rPr>
        <w:t>e chez les patients du service de r</w:t>
      </w:r>
      <w:r>
        <w:rPr>
          <w:rFonts w:ascii="Arial" w:hAnsi="Arial" w:cs="Arial"/>
          <w:sz w:val="24"/>
          <w:szCs w:val="24"/>
        </w:rPr>
        <w:t>é</w:t>
      </w:r>
      <w:r>
        <w:rPr>
          <w:rFonts w:asciiTheme="minorBidi" w:hAnsiTheme="minorBidi"/>
          <w:sz w:val="24"/>
          <w:szCs w:val="24"/>
        </w:rPr>
        <w:t xml:space="preserve">animation (93,32 </w:t>
      </w:r>
      <w:r>
        <w:rPr>
          <w:rFonts w:ascii="Arial" w:hAnsi="Arial" w:cs="Arial"/>
          <w:sz w:val="24"/>
          <w:szCs w:val="24"/>
        </w:rPr>
        <w:t>±</w:t>
      </w:r>
      <w:r>
        <w:rPr>
          <w:rFonts w:asciiTheme="minorBidi" w:hAnsiTheme="minorBidi"/>
          <w:sz w:val="24"/>
          <w:szCs w:val="24"/>
        </w:rPr>
        <w:t xml:space="preserve"> 1,642 %) par rapport </w:t>
      </w:r>
      <w:r>
        <w:rPr>
          <w:rFonts w:ascii="Arial" w:hAnsi="Arial" w:cs="Arial"/>
          <w:sz w:val="24"/>
          <w:szCs w:val="24"/>
        </w:rPr>
        <w:t>à</w:t>
      </w:r>
      <w:r>
        <w:rPr>
          <w:rFonts w:asciiTheme="minorBidi" w:hAnsiTheme="minorBidi"/>
          <w:sz w:val="24"/>
          <w:szCs w:val="24"/>
        </w:rPr>
        <w:t xml:space="preserve"> ceux de m</w:t>
      </w:r>
      <w:r>
        <w:rPr>
          <w:rFonts w:ascii="Arial" w:hAnsi="Arial" w:cs="Arial"/>
          <w:sz w:val="24"/>
          <w:szCs w:val="24"/>
        </w:rPr>
        <w:t>é</w:t>
      </w:r>
      <w:r>
        <w:rPr>
          <w:rFonts w:asciiTheme="minorBidi" w:hAnsiTheme="minorBidi"/>
          <w:sz w:val="24"/>
          <w:szCs w:val="24"/>
        </w:rPr>
        <w:t xml:space="preserve">decine interne (97,31 </w:t>
      </w:r>
      <w:r>
        <w:rPr>
          <w:rFonts w:ascii="Arial" w:hAnsi="Arial" w:cs="Arial"/>
          <w:sz w:val="24"/>
          <w:szCs w:val="24"/>
        </w:rPr>
        <w:t>±</w:t>
      </w:r>
      <w:r>
        <w:rPr>
          <w:rFonts w:asciiTheme="minorBidi" w:hAnsiTheme="minorBidi"/>
          <w:sz w:val="24"/>
          <w:szCs w:val="24"/>
        </w:rPr>
        <w:t xml:space="preserve"> 0,35 %), ce dernier se situant dans l’intervalle physiologique (95–100 %).</w:t>
      </w:r>
    </w:p>
    <w:p w14:paraId="0AB25068"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Cette tendance peut s’expliquer par l’état respiratoire des patients en acidocétose diabétique, caractérisé par une polypnée associée à une respiration de Kussmaul (hyperventilation), traduisant un mécanisme compensatoire de l’acidose métabolique.</w:t>
      </w:r>
      <w:r>
        <w:rPr>
          <w:rFonts w:asciiTheme="minorBidi" w:hAnsiTheme="minorBidi"/>
          <w:b/>
          <w:bCs/>
          <w:sz w:val="24"/>
          <w:szCs w:val="24"/>
        </w:rPr>
        <w:t xml:space="preserve"> </w:t>
      </w:r>
    </w:p>
    <w:p w14:paraId="75C35F8C" w14:textId="77777777" w:rsidR="00502BB2" w:rsidRDefault="00502BB2">
      <w:pPr>
        <w:pStyle w:val="ListParagraph"/>
        <w:spacing w:line="360" w:lineRule="auto"/>
        <w:rPr>
          <w:rFonts w:asciiTheme="minorBidi" w:hAnsiTheme="minorBidi"/>
          <w:b/>
          <w:bCs/>
          <w:sz w:val="24"/>
          <w:szCs w:val="24"/>
        </w:rPr>
      </w:pPr>
    </w:p>
    <w:p w14:paraId="63357FC9" w14:textId="77777777" w:rsidR="00502BB2" w:rsidRDefault="0069123E">
      <w:pPr>
        <w:pStyle w:val="Heading4"/>
        <w:numPr>
          <w:ilvl w:val="0"/>
          <w:numId w:val="14"/>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Po2 et pco2 :</w:t>
      </w:r>
    </w:p>
    <w:p w14:paraId="16741AAA" w14:textId="77777777" w:rsidR="00502BB2" w:rsidRDefault="0069123E">
      <w:pPr>
        <w:keepNext/>
        <w:spacing w:line="360" w:lineRule="auto"/>
        <w:ind w:left="360"/>
        <w:jc w:val="center"/>
      </w:pPr>
      <w:r>
        <w:rPr>
          <w:rFonts w:asciiTheme="minorBidi" w:hAnsiTheme="minorBidi"/>
          <w:sz w:val="24"/>
          <w:szCs w:val="24"/>
        </w:rPr>
        <w:object w:dxaOrig="8624" w:dyaOrig="4193" w14:anchorId="132BDEA6">
          <v:shape id="_x0000_i1031" type="#_x0000_t75" style="width:431.15pt;height:210pt" o:ole="">
            <v:imagedata r:id="rId109" o:title=""/>
          </v:shape>
          <o:OLEObject Type="Embed" ProgID="Prism10.Document" ShapeID="_x0000_i1031" DrawAspect="Content" ObjectID="_1842872866" r:id="rId110"/>
        </w:object>
      </w:r>
    </w:p>
    <w:p w14:paraId="7F2F9AA9" w14:textId="7B58EE86" w:rsidR="00502BB2" w:rsidRDefault="0069123E">
      <w:pPr>
        <w:pStyle w:val="Caption"/>
        <w:jc w:val="center"/>
        <w:rPr>
          <w:rFonts w:asciiTheme="minorBidi" w:hAnsiTheme="minorBidi"/>
          <w:sz w:val="24"/>
          <w:szCs w:val="24"/>
        </w:rPr>
      </w:pPr>
      <w:bookmarkStart w:id="88" w:name="_Toc225723039"/>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35</w:t>
      </w:r>
      <w:r>
        <w:rPr>
          <w:rFonts w:asciiTheme="minorBidi" w:hAnsiTheme="minorBidi"/>
          <w:b/>
          <w:bCs/>
          <w:sz w:val="24"/>
          <w:szCs w:val="24"/>
        </w:rPr>
        <w:fldChar w:fldCharType="end"/>
      </w:r>
      <w:r>
        <w:rPr>
          <w:rFonts w:asciiTheme="minorBidi" w:hAnsiTheme="minorBidi"/>
          <w:sz w:val="24"/>
          <w:szCs w:val="24"/>
        </w:rPr>
        <w:t xml:space="preserve"> : Figure des moyennes de PO2 et PCO2</w:t>
      </w:r>
      <w:bookmarkEnd w:id="88"/>
    </w:p>
    <w:p w14:paraId="604D3A5B" w14:textId="08231A55"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3</w:t>
      </w:r>
      <w:r w:rsidR="003462B7">
        <w:rPr>
          <w:rFonts w:asciiTheme="minorBidi" w:hAnsiTheme="minorBidi"/>
          <w:b/>
          <w:bCs/>
          <w:sz w:val="24"/>
          <w:szCs w:val="24"/>
        </w:rPr>
        <w:t>5</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non paramétrique de Mann–Whitney.</w:t>
      </w:r>
    </w:p>
    <w:p w14:paraId="0DC4A3BB"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La PaO</w:t>
      </w:r>
      <w:r>
        <w:rPr>
          <w:rFonts w:ascii="Cambria Math" w:hAnsi="Cambria Math" w:cs="Cambria Math"/>
          <w:sz w:val="24"/>
          <w:szCs w:val="24"/>
        </w:rPr>
        <w:t>₂</w:t>
      </w:r>
      <w:r>
        <w:rPr>
          <w:rFonts w:asciiTheme="minorBidi" w:hAnsiTheme="minorBidi"/>
          <w:sz w:val="24"/>
          <w:szCs w:val="24"/>
        </w:rPr>
        <w:t xml:space="preserve"> (pression partielle en oxyg</w:t>
      </w:r>
      <w:r>
        <w:rPr>
          <w:rFonts w:ascii="Arial" w:hAnsi="Arial" w:cs="Arial"/>
          <w:sz w:val="24"/>
          <w:szCs w:val="24"/>
        </w:rPr>
        <w:t>è</w:t>
      </w:r>
      <w:r>
        <w:rPr>
          <w:rFonts w:asciiTheme="minorBidi" w:hAnsiTheme="minorBidi"/>
          <w:sz w:val="24"/>
          <w:szCs w:val="24"/>
        </w:rPr>
        <w:t>ne dans le sang art</w:t>
      </w:r>
      <w:r>
        <w:rPr>
          <w:rFonts w:ascii="Arial" w:hAnsi="Arial" w:cs="Arial"/>
          <w:sz w:val="24"/>
          <w:szCs w:val="24"/>
        </w:rPr>
        <w:t>é</w:t>
      </w:r>
      <w:r>
        <w:rPr>
          <w:rFonts w:asciiTheme="minorBidi" w:hAnsiTheme="minorBidi"/>
          <w:sz w:val="24"/>
          <w:szCs w:val="24"/>
        </w:rPr>
        <w:t>riel), qui refl</w:t>
      </w:r>
      <w:r>
        <w:rPr>
          <w:rFonts w:ascii="Arial" w:hAnsi="Arial" w:cs="Arial"/>
          <w:sz w:val="24"/>
          <w:szCs w:val="24"/>
        </w:rPr>
        <w:t>è</w:t>
      </w:r>
      <w:r>
        <w:rPr>
          <w:rFonts w:asciiTheme="minorBidi" w:hAnsiTheme="minorBidi"/>
          <w:sz w:val="24"/>
          <w:szCs w:val="24"/>
        </w:rPr>
        <w:t>te la quantit</w:t>
      </w:r>
      <w:r>
        <w:rPr>
          <w:rFonts w:ascii="Arial" w:hAnsi="Arial" w:cs="Arial"/>
          <w:sz w:val="24"/>
          <w:szCs w:val="24"/>
        </w:rPr>
        <w:t>é</w:t>
      </w:r>
      <w:r>
        <w:rPr>
          <w:rFonts w:asciiTheme="minorBidi" w:hAnsiTheme="minorBidi"/>
          <w:sz w:val="24"/>
          <w:szCs w:val="24"/>
        </w:rPr>
        <w:t xml:space="preserve"> d</w:t>
      </w:r>
      <w:r>
        <w:rPr>
          <w:rFonts w:ascii="Arial" w:hAnsi="Arial" w:cs="Arial"/>
          <w:sz w:val="24"/>
          <w:szCs w:val="24"/>
        </w:rPr>
        <w:t>’</w:t>
      </w:r>
      <w:r>
        <w:rPr>
          <w:rFonts w:asciiTheme="minorBidi" w:hAnsiTheme="minorBidi"/>
          <w:sz w:val="24"/>
          <w:szCs w:val="24"/>
        </w:rPr>
        <w:t>oxyg</w:t>
      </w:r>
      <w:r>
        <w:rPr>
          <w:rFonts w:ascii="Arial" w:hAnsi="Arial" w:cs="Arial"/>
          <w:sz w:val="24"/>
          <w:szCs w:val="24"/>
        </w:rPr>
        <w:t>è</w:t>
      </w:r>
      <w:r>
        <w:rPr>
          <w:rFonts w:asciiTheme="minorBidi" w:hAnsiTheme="minorBidi"/>
          <w:sz w:val="24"/>
          <w:szCs w:val="24"/>
        </w:rPr>
        <w:t>ne dissous dans le plasma, ne montre pas de diff</w:t>
      </w:r>
      <w:r>
        <w:rPr>
          <w:rFonts w:ascii="Arial" w:hAnsi="Arial" w:cs="Arial"/>
          <w:sz w:val="24"/>
          <w:szCs w:val="24"/>
        </w:rPr>
        <w:t>é</w:t>
      </w:r>
      <w:r>
        <w:rPr>
          <w:rFonts w:asciiTheme="minorBidi" w:hAnsiTheme="minorBidi"/>
          <w:sz w:val="24"/>
          <w:szCs w:val="24"/>
        </w:rPr>
        <w:t>rence significative entre les deux groupes. Cependant, les valeurs observ</w:t>
      </w:r>
      <w:r>
        <w:rPr>
          <w:rFonts w:ascii="Arial" w:hAnsi="Arial" w:cs="Arial"/>
          <w:sz w:val="24"/>
          <w:szCs w:val="24"/>
        </w:rPr>
        <w:t>é</w:t>
      </w:r>
      <w:r>
        <w:rPr>
          <w:rFonts w:asciiTheme="minorBidi" w:hAnsiTheme="minorBidi"/>
          <w:sz w:val="24"/>
          <w:szCs w:val="24"/>
        </w:rPr>
        <w:t xml:space="preserve">es, aussi bien </w:t>
      </w:r>
      <w:r>
        <w:rPr>
          <w:rFonts w:asciiTheme="minorBidi" w:hAnsiTheme="minorBidi"/>
          <w:sz w:val="24"/>
          <w:szCs w:val="24"/>
        </w:rPr>
        <w:lastRenderedPageBreak/>
        <w:t>en r</w:t>
      </w:r>
      <w:r>
        <w:rPr>
          <w:rFonts w:ascii="Arial" w:hAnsi="Arial" w:cs="Arial"/>
          <w:sz w:val="24"/>
          <w:szCs w:val="24"/>
        </w:rPr>
        <w:t>é</w:t>
      </w:r>
      <w:r>
        <w:rPr>
          <w:rFonts w:asciiTheme="minorBidi" w:hAnsiTheme="minorBidi"/>
          <w:sz w:val="24"/>
          <w:szCs w:val="24"/>
        </w:rPr>
        <w:t xml:space="preserve">animation (165,2 </w:t>
      </w:r>
      <w:r>
        <w:rPr>
          <w:rFonts w:ascii="Arial" w:hAnsi="Arial" w:cs="Arial"/>
          <w:sz w:val="24"/>
          <w:szCs w:val="24"/>
        </w:rPr>
        <w:t>±</w:t>
      </w:r>
      <w:r>
        <w:rPr>
          <w:rFonts w:asciiTheme="minorBidi" w:hAnsiTheme="minorBidi"/>
          <w:sz w:val="24"/>
          <w:szCs w:val="24"/>
        </w:rPr>
        <w:t xml:space="preserve"> 23,67 mmHg) qu</w:t>
      </w:r>
      <w:r>
        <w:rPr>
          <w:rFonts w:ascii="Arial" w:hAnsi="Arial" w:cs="Arial"/>
          <w:sz w:val="24"/>
          <w:szCs w:val="24"/>
        </w:rPr>
        <w:t>’</w:t>
      </w:r>
      <w:r>
        <w:rPr>
          <w:rFonts w:asciiTheme="minorBidi" w:hAnsiTheme="minorBidi"/>
          <w:sz w:val="24"/>
          <w:szCs w:val="24"/>
        </w:rPr>
        <w:t>en m</w:t>
      </w:r>
      <w:r>
        <w:rPr>
          <w:rFonts w:ascii="Arial" w:hAnsi="Arial" w:cs="Arial"/>
          <w:sz w:val="24"/>
          <w:szCs w:val="24"/>
        </w:rPr>
        <w:t>é</w:t>
      </w:r>
      <w:r>
        <w:rPr>
          <w:rFonts w:asciiTheme="minorBidi" w:hAnsiTheme="minorBidi"/>
          <w:sz w:val="24"/>
          <w:szCs w:val="24"/>
        </w:rPr>
        <w:t xml:space="preserve">decine interne (161,3 </w:t>
      </w:r>
      <w:r>
        <w:rPr>
          <w:rFonts w:ascii="Arial" w:hAnsi="Arial" w:cs="Arial"/>
          <w:sz w:val="24"/>
          <w:szCs w:val="24"/>
        </w:rPr>
        <w:t>±</w:t>
      </w:r>
      <w:r>
        <w:rPr>
          <w:rFonts w:asciiTheme="minorBidi" w:hAnsiTheme="minorBidi"/>
          <w:sz w:val="24"/>
          <w:szCs w:val="24"/>
        </w:rPr>
        <w:t xml:space="preserve"> 30,34 mmHg), sont sup</w:t>
      </w:r>
      <w:r>
        <w:rPr>
          <w:rFonts w:ascii="Arial" w:hAnsi="Arial" w:cs="Arial"/>
          <w:sz w:val="24"/>
          <w:szCs w:val="24"/>
        </w:rPr>
        <w:t>é</w:t>
      </w:r>
      <w:r>
        <w:rPr>
          <w:rFonts w:asciiTheme="minorBidi" w:hAnsiTheme="minorBidi"/>
          <w:sz w:val="24"/>
          <w:szCs w:val="24"/>
        </w:rPr>
        <w:t>rieures aux normes physiologiques (90</w:t>
      </w:r>
      <w:r>
        <w:rPr>
          <w:rFonts w:ascii="Arial" w:hAnsi="Arial" w:cs="Arial"/>
          <w:sz w:val="24"/>
          <w:szCs w:val="24"/>
        </w:rPr>
        <w:t>–</w:t>
      </w:r>
      <w:r>
        <w:rPr>
          <w:rFonts w:asciiTheme="minorBidi" w:hAnsiTheme="minorBidi"/>
          <w:sz w:val="24"/>
          <w:szCs w:val="24"/>
        </w:rPr>
        <w:t xml:space="preserve">100 mmHg). Cette </w:t>
      </w:r>
      <w:r>
        <w:rPr>
          <w:rFonts w:ascii="Arial" w:hAnsi="Arial" w:cs="Arial"/>
          <w:sz w:val="24"/>
          <w:szCs w:val="24"/>
        </w:rPr>
        <w:t>é</w:t>
      </w:r>
      <w:r>
        <w:rPr>
          <w:rFonts w:asciiTheme="minorBidi" w:hAnsiTheme="minorBidi"/>
          <w:sz w:val="24"/>
          <w:szCs w:val="24"/>
        </w:rPr>
        <w:t>l</w:t>
      </w:r>
      <w:r>
        <w:rPr>
          <w:rFonts w:ascii="Arial" w:hAnsi="Arial" w:cs="Arial"/>
          <w:sz w:val="24"/>
          <w:szCs w:val="24"/>
        </w:rPr>
        <w:t>é</w:t>
      </w:r>
      <w:r>
        <w:rPr>
          <w:rFonts w:asciiTheme="minorBidi" w:hAnsiTheme="minorBidi"/>
          <w:sz w:val="24"/>
          <w:szCs w:val="24"/>
        </w:rPr>
        <w:t xml:space="preserve">vation peut </w:t>
      </w:r>
      <w:r>
        <w:rPr>
          <w:rFonts w:ascii="Arial" w:hAnsi="Arial" w:cs="Arial"/>
          <w:sz w:val="24"/>
          <w:szCs w:val="24"/>
        </w:rPr>
        <w:t>ê</w:t>
      </w:r>
      <w:r>
        <w:rPr>
          <w:rFonts w:asciiTheme="minorBidi" w:hAnsiTheme="minorBidi"/>
          <w:sz w:val="24"/>
          <w:szCs w:val="24"/>
        </w:rPr>
        <w:t>tre li</w:t>
      </w:r>
      <w:r>
        <w:rPr>
          <w:rFonts w:ascii="Arial" w:hAnsi="Arial" w:cs="Arial"/>
          <w:sz w:val="24"/>
          <w:szCs w:val="24"/>
        </w:rPr>
        <w:t>é</w:t>
      </w:r>
      <w:r>
        <w:rPr>
          <w:rFonts w:asciiTheme="minorBidi" w:hAnsiTheme="minorBidi"/>
          <w:sz w:val="24"/>
          <w:szCs w:val="24"/>
        </w:rPr>
        <w:t xml:space="preserve">e </w:t>
      </w:r>
      <w:r>
        <w:rPr>
          <w:rFonts w:ascii="Arial" w:hAnsi="Arial" w:cs="Arial"/>
          <w:sz w:val="24"/>
          <w:szCs w:val="24"/>
        </w:rPr>
        <w:t>à</w:t>
      </w:r>
      <w:r>
        <w:rPr>
          <w:rFonts w:asciiTheme="minorBidi" w:hAnsiTheme="minorBidi"/>
          <w:sz w:val="24"/>
          <w:szCs w:val="24"/>
        </w:rPr>
        <w:t xml:space="preserve"> l</w:t>
      </w:r>
      <w:r>
        <w:rPr>
          <w:rFonts w:ascii="Arial" w:hAnsi="Arial" w:cs="Arial"/>
          <w:sz w:val="24"/>
          <w:szCs w:val="24"/>
        </w:rPr>
        <w:t>’</w:t>
      </w:r>
      <w:r>
        <w:rPr>
          <w:rFonts w:asciiTheme="minorBidi" w:hAnsiTheme="minorBidi"/>
          <w:sz w:val="24"/>
          <w:szCs w:val="24"/>
        </w:rPr>
        <w:t>hyperventilation observ</w:t>
      </w:r>
      <w:r>
        <w:rPr>
          <w:rFonts w:ascii="Arial" w:hAnsi="Arial" w:cs="Arial"/>
          <w:sz w:val="24"/>
          <w:szCs w:val="24"/>
        </w:rPr>
        <w:t>é</w:t>
      </w:r>
      <w:r>
        <w:rPr>
          <w:rFonts w:asciiTheme="minorBidi" w:hAnsiTheme="minorBidi"/>
          <w:sz w:val="24"/>
          <w:szCs w:val="24"/>
        </w:rPr>
        <w:t>e chez ces patients, notamment dans le cadre de la respiration de Kussmaul, ou encore à une éventuelle oxygénothérapie administrée avant le prélèvement.</w:t>
      </w:r>
    </w:p>
    <w:p w14:paraId="4BC9FB46" w14:textId="77777777" w:rsidR="00502BB2" w:rsidRDefault="0069123E">
      <w:pPr>
        <w:spacing w:line="360" w:lineRule="auto"/>
        <w:ind w:left="-1" w:right="625" w:firstLine="361"/>
        <w:jc w:val="both"/>
        <w:rPr>
          <w:rFonts w:asciiTheme="minorBidi" w:hAnsiTheme="minorBidi"/>
          <w:sz w:val="24"/>
          <w:szCs w:val="24"/>
        </w:rPr>
      </w:pPr>
      <w:r>
        <w:rPr>
          <w:rFonts w:asciiTheme="minorBidi" w:hAnsiTheme="minorBidi"/>
          <w:sz w:val="24"/>
          <w:szCs w:val="24"/>
        </w:rPr>
        <w:t>La PaCO</w:t>
      </w:r>
      <w:r>
        <w:rPr>
          <w:rFonts w:ascii="Cambria Math" w:hAnsi="Cambria Math" w:cs="Cambria Math"/>
          <w:sz w:val="24"/>
          <w:szCs w:val="24"/>
        </w:rPr>
        <w:t>₂</w:t>
      </w:r>
      <w:r>
        <w:rPr>
          <w:rFonts w:asciiTheme="minorBidi" w:hAnsiTheme="minorBidi"/>
          <w:sz w:val="24"/>
          <w:szCs w:val="24"/>
        </w:rPr>
        <w:t xml:space="preserve"> (pression partielle en dioxyde de carbone), qui repr</w:t>
      </w:r>
      <w:r>
        <w:rPr>
          <w:rFonts w:ascii="Arial" w:hAnsi="Arial" w:cs="Arial"/>
          <w:sz w:val="24"/>
          <w:szCs w:val="24"/>
        </w:rPr>
        <w:t>é</w:t>
      </w:r>
      <w:r>
        <w:rPr>
          <w:rFonts w:asciiTheme="minorBidi" w:hAnsiTheme="minorBidi"/>
          <w:sz w:val="24"/>
          <w:szCs w:val="24"/>
        </w:rPr>
        <w:t>sente la pression exerc</w:t>
      </w:r>
      <w:r>
        <w:rPr>
          <w:rFonts w:ascii="Arial" w:hAnsi="Arial" w:cs="Arial"/>
          <w:sz w:val="24"/>
          <w:szCs w:val="24"/>
        </w:rPr>
        <w:t>é</w:t>
      </w:r>
      <w:r>
        <w:rPr>
          <w:rFonts w:asciiTheme="minorBidi" w:hAnsiTheme="minorBidi"/>
          <w:sz w:val="24"/>
          <w:szCs w:val="24"/>
        </w:rPr>
        <w:t>e par le CO</w:t>
      </w:r>
      <w:r>
        <w:rPr>
          <w:rFonts w:ascii="Cambria Math" w:hAnsi="Cambria Math" w:cs="Cambria Math"/>
          <w:sz w:val="24"/>
          <w:szCs w:val="24"/>
        </w:rPr>
        <w:t>₂</w:t>
      </w:r>
      <w:r>
        <w:rPr>
          <w:rFonts w:asciiTheme="minorBidi" w:hAnsiTheme="minorBidi"/>
          <w:sz w:val="24"/>
          <w:szCs w:val="24"/>
        </w:rPr>
        <w:t xml:space="preserve"> dissous dans le sang, ne pr</w:t>
      </w:r>
      <w:r>
        <w:rPr>
          <w:rFonts w:ascii="Arial" w:hAnsi="Arial" w:cs="Arial"/>
          <w:sz w:val="24"/>
          <w:szCs w:val="24"/>
        </w:rPr>
        <w:t>é</w:t>
      </w:r>
      <w:r>
        <w:rPr>
          <w:rFonts w:asciiTheme="minorBidi" w:hAnsiTheme="minorBidi"/>
          <w:sz w:val="24"/>
          <w:szCs w:val="24"/>
        </w:rPr>
        <w:t xml:space="preserve">sente </w:t>
      </w:r>
      <w:r>
        <w:rPr>
          <w:rFonts w:ascii="Arial" w:hAnsi="Arial" w:cs="Arial"/>
          <w:sz w:val="24"/>
          <w:szCs w:val="24"/>
        </w:rPr>
        <w:t>é</w:t>
      </w:r>
      <w:r>
        <w:rPr>
          <w:rFonts w:asciiTheme="minorBidi" w:hAnsiTheme="minorBidi"/>
          <w:sz w:val="24"/>
          <w:szCs w:val="24"/>
        </w:rPr>
        <w:t>galement pas de diff</w:t>
      </w:r>
      <w:r>
        <w:rPr>
          <w:rFonts w:ascii="Arial" w:hAnsi="Arial" w:cs="Arial"/>
          <w:sz w:val="24"/>
          <w:szCs w:val="24"/>
        </w:rPr>
        <w:t>é</w:t>
      </w:r>
      <w:r>
        <w:rPr>
          <w:rFonts w:asciiTheme="minorBidi" w:hAnsiTheme="minorBidi"/>
          <w:sz w:val="24"/>
          <w:szCs w:val="24"/>
        </w:rPr>
        <w:t>rence significative entre les deux groupes. N</w:t>
      </w:r>
      <w:r>
        <w:rPr>
          <w:rFonts w:ascii="Arial" w:hAnsi="Arial" w:cs="Arial"/>
          <w:sz w:val="24"/>
          <w:szCs w:val="24"/>
        </w:rPr>
        <w:t>é</w:t>
      </w:r>
      <w:r>
        <w:rPr>
          <w:rFonts w:asciiTheme="minorBidi" w:hAnsiTheme="minorBidi"/>
          <w:sz w:val="24"/>
          <w:szCs w:val="24"/>
        </w:rPr>
        <w:t>anmoins, les valeurs mesur</w:t>
      </w:r>
      <w:r>
        <w:rPr>
          <w:rFonts w:ascii="Arial" w:hAnsi="Arial" w:cs="Arial"/>
          <w:sz w:val="24"/>
          <w:szCs w:val="24"/>
        </w:rPr>
        <w:t>é</w:t>
      </w:r>
      <w:r>
        <w:rPr>
          <w:rFonts w:asciiTheme="minorBidi" w:hAnsiTheme="minorBidi"/>
          <w:sz w:val="24"/>
          <w:szCs w:val="24"/>
        </w:rPr>
        <w:t>es sont inf</w:t>
      </w:r>
      <w:r>
        <w:rPr>
          <w:rFonts w:ascii="Arial" w:hAnsi="Arial" w:cs="Arial"/>
          <w:sz w:val="24"/>
          <w:szCs w:val="24"/>
        </w:rPr>
        <w:t>é</w:t>
      </w:r>
      <w:r>
        <w:rPr>
          <w:rFonts w:asciiTheme="minorBidi" w:hAnsiTheme="minorBidi"/>
          <w:sz w:val="24"/>
          <w:szCs w:val="24"/>
        </w:rPr>
        <w:t>rieures aux normes physiologiques (35</w:t>
      </w:r>
      <w:r>
        <w:rPr>
          <w:rFonts w:ascii="Arial" w:hAnsi="Arial" w:cs="Arial"/>
          <w:sz w:val="24"/>
          <w:szCs w:val="24"/>
        </w:rPr>
        <w:t>–</w:t>
      </w:r>
      <w:r>
        <w:rPr>
          <w:rFonts w:asciiTheme="minorBidi" w:hAnsiTheme="minorBidi"/>
          <w:sz w:val="24"/>
          <w:szCs w:val="24"/>
        </w:rPr>
        <w:t xml:space="preserve">45 mmHg), avec 27,04 </w:t>
      </w:r>
      <w:r>
        <w:rPr>
          <w:rFonts w:ascii="Arial" w:hAnsi="Arial" w:cs="Arial"/>
          <w:sz w:val="24"/>
          <w:szCs w:val="24"/>
        </w:rPr>
        <w:t>±</w:t>
      </w:r>
      <w:r>
        <w:rPr>
          <w:rFonts w:asciiTheme="minorBidi" w:hAnsiTheme="minorBidi"/>
          <w:sz w:val="24"/>
          <w:szCs w:val="24"/>
        </w:rPr>
        <w:t xml:space="preserve"> 5,781 mmHg en r</w:t>
      </w:r>
      <w:r>
        <w:rPr>
          <w:rFonts w:ascii="Arial" w:hAnsi="Arial" w:cs="Arial"/>
          <w:sz w:val="24"/>
          <w:szCs w:val="24"/>
        </w:rPr>
        <w:t>é</w:t>
      </w:r>
      <w:r>
        <w:rPr>
          <w:rFonts w:asciiTheme="minorBidi" w:hAnsiTheme="minorBidi"/>
          <w:sz w:val="24"/>
          <w:szCs w:val="24"/>
        </w:rPr>
        <w:t xml:space="preserve">animation et 23,93 </w:t>
      </w:r>
      <w:r>
        <w:rPr>
          <w:rFonts w:ascii="Arial" w:hAnsi="Arial" w:cs="Arial"/>
          <w:sz w:val="24"/>
          <w:szCs w:val="24"/>
        </w:rPr>
        <w:t>±</w:t>
      </w:r>
      <w:r>
        <w:rPr>
          <w:rFonts w:asciiTheme="minorBidi" w:hAnsiTheme="minorBidi"/>
          <w:sz w:val="24"/>
          <w:szCs w:val="24"/>
        </w:rPr>
        <w:t xml:space="preserve"> 4,162 mmHg en m</w:t>
      </w:r>
      <w:r>
        <w:rPr>
          <w:rFonts w:ascii="Arial" w:hAnsi="Arial" w:cs="Arial"/>
          <w:sz w:val="24"/>
          <w:szCs w:val="24"/>
        </w:rPr>
        <w:t>é</w:t>
      </w:r>
      <w:r>
        <w:rPr>
          <w:rFonts w:asciiTheme="minorBidi" w:hAnsiTheme="minorBidi"/>
          <w:sz w:val="24"/>
          <w:szCs w:val="24"/>
        </w:rPr>
        <w:t>decine interne. Cette diminution est en lien avec l</w:t>
      </w:r>
      <w:r>
        <w:rPr>
          <w:rFonts w:ascii="Arial" w:hAnsi="Arial" w:cs="Arial"/>
          <w:sz w:val="24"/>
          <w:szCs w:val="24"/>
        </w:rPr>
        <w:t>’</w:t>
      </w:r>
      <w:r>
        <w:rPr>
          <w:rFonts w:asciiTheme="minorBidi" w:hAnsiTheme="minorBidi"/>
          <w:sz w:val="24"/>
          <w:szCs w:val="24"/>
        </w:rPr>
        <w:t>hyperventilation compensatrice (respiration de Kussmaul), qui permet d</w:t>
      </w:r>
      <w:r>
        <w:rPr>
          <w:rFonts w:ascii="Arial" w:hAnsi="Arial" w:cs="Arial"/>
          <w:sz w:val="24"/>
          <w:szCs w:val="24"/>
        </w:rPr>
        <w:t>’é</w:t>
      </w:r>
      <w:r>
        <w:rPr>
          <w:rFonts w:asciiTheme="minorBidi" w:hAnsiTheme="minorBidi"/>
          <w:sz w:val="24"/>
          <w:szCs w:val="24"/>
        </w:rPr>
        <w:t>liminer le CO</w:t>
      </w:r>
      <w:r>
        <w:rPr>
          <w:rFonts w:ascii="Cambria Math" w:hAnsi="Cambria Math" w:cs="Cambria Math"/>
          <w:sz w:val="24"/>
          <w:szCs w:val="24"/>
        </w:rPr>
        <w:t>₂</w:t>
      </w:r>
      <w:r>
        <w:rPr>
          <w:rFonts w:asciiTheme="minorBidi" w:hAnsiTheme="minorBidi"/>
          <w:sz w:val="24"/>
          <w:szCs w:val="24"/>
        </w:rPr>
        <w:t xml:space="preserve"> afin de corriger partielle</w:t>
      </w:r>
      <w:r>
        <w:rPr>
          <w:rFonts w:asciiTheme="minorBidi" w:hAnsiTheme="minorBidi"/>
          <w:sz w:val="24"/>
          <w:szCs w:val="24"/>
        </w:rPr>
        <w:t>ment l’acidose métabolique.</w:t>
      </w:r>
    </w:p>
    <w:p w14:paraId="1EB98B11" w14:textId="77777777" w:rsidR="00502BB2" w:rsidRDefault="0069123E">
      <w:pPr>
        <w:pStyle w:val="Heading4"/>
        <w:numPr>
          <w:ilvl w:val="0"/>
          <w:numId w:val="14"/>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pH :</w:t>
      </w:r>
    </w:p>
    <w:p w14:paraId="4F18CE76" w14:textId="135AC6B1" w:rsidR="00502BB2" w:rsidRDefault="00FD0F53">
      <w:pPr>
        <w:pStyle w:val="ListParagraph"/>
        <w:keepNext/>
        <w:spacing w:line="360" w:lineRule="auto"/>
        <w:jc w:val="center"/>
      </w:pPr>
      <w:r>
        <w:object w:dxaOrig="7279" w:dyaOrig="5854" w14:anchorId="465A5AD0">
          <v:shape id="_x0000_i1032" type="#_x0000_t75" style="width:364.3pt;height:292.3pt" o:ole="">
            <v:imagedata r:id="rId111" o:title=""/>
          </v:shape>
          <o:OLEObject Type="Embed" ProgID="Prism10.Document" ShapeID="_x0000_i1032" DrawAspect="Content" ObjectID="_1842872867" r:id="rId112"/>
        </w:object>
      </w:r>
    </w:p>
    <w:p w14:paraId="05B5630E" w14:textId="4A3A14C3" w:rsidR="00502BB2" w:rsidRDefault="0069123E">
      <w:pPr>
        <w:pStyle w:val="Caption"/>
        <w:jc w:val="center"/>
        <w:rPr>
          <w:rFonts w:asciiTheme="minorBidi" w:hAnsiTheme="minorBidi"/>
          <w:b/>
          <w:bCs/>
          <w:sz w:val="24"/>
          <w:szCs w:val="24"/>
        </w:rPr>
      </w:pPr>
      <w:bookmarkStart w:id="89" w:name="_Toc225723040"/>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36</w:t>
      </w:r>
      <w:r>
        <w:rPr>
          <w:rFonts w:asciiTheme="minorBidi" w:hAnsiTheme="minorBidi"/>
          <w:b/>
          <w:bCs/>
          <w:sz w:val="24"/>
          <w:szCs w:val="24"/>
        </w:rPr>
        <w:fldChar w:fldCharType="end"/>
      </w:r>
      <w:r>
        <w:rPr>
          <w:rFonts w:asciiTheme="minorBidi" w:hAnsiTheme="minorBidi"/>
          <w:sz w:val="24"/>
          <w:szCs w:val="24"/>
        </w:rPr>
        <w:t xml:space="preserve"> : Figure des moyennes de pH</w:t>
      </w:r>
      <w:bookmarkEnd w:id="89"/>
    </w:p>
    <w:p w14:paraId="1AA5CFED" w14:textId="6E82C5AD"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lastRenderedPageBreak/>
        <w:t>Les valeurs présentées (</w:t>
      </w:r>
      <w:r>
        <w:rPr>
          <w:rFonts w:asciiTheme="minorBidi" w:hAnsiTheme="minorBidi"/>
          <w:b/>
          <w:bCs/>
          <w:sz w:val="24"/>
          <w:szCs w:val="24"/>
        </w:rPr>
        <w:t>figure 3</w:t>
      </w:r>
      <w:r w:rsidR="003462B7">
        <w:rPr>
          <w:rFonts w:asciiTheme="minorBidi" w:hAnsiTheme="minorBidi"/>
          <w:b/>
          <w:bCs/>
          <w:sz w:val="24"/>
          <w:szCs w:val="24"/>
        </w:rPr>
        <w:t>6</w:t>
      </w:r>
      <w:r>
        <w:rPr>
          <w:rFonts w:asciiTheme="minorBidi" w:hAnsiTheme="minorBidi"/>
          <w:sz w:val="24"/>
          <w:szCs w:val="24"/>
        </w:rPr>
        <w:t>) sont exprimées sous forme de moyennes ± écart-type. Le nombre d’étoiles indique le niveau de différence significative entre les deux populations (p &lt; 0,05), déterminé à l’aide du test non paramétrique de Mann–Whitney.</w:t>
      </w:r>
    </w:p>
    <w:p w14:paraId="662687A5" w14:textId="328F34F4"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L’analyse statistique du pH met en évidence une différence significative entre les deux groupes. En effet, le pH est nettement plus bas chez les patients du service de réanimation (6,85 ± 0,148) comparativement à ceux de médecine interne (7,</w:t>
      </w:r>
      <w:r w:rsidR="00FD0F53">
        <w:rPr>
          <w:rFonts w:asciiTheme="minorBidi" w:hAnsiTheme="minorBidi"/>
          <w:sz w:val="24"/>
          <w:szCs w:val="24"/>
        </w:rPr>
        <w:t>29</w:t>
      </w:r>
      <w:r>
        <w:rPr>
          <w:rFonts w:asciiTheme="minorBidi" w:hAnsiTheme="minorBidi"/>
          <w:sz w:val="24"/>
          <w:szCs w:val="24"/>
        </w:rPr>
        <w:t xml:space="preserve"> ± 0,0</w:t>
      </w:r>
      <w:r w:rsidR="00FD0F53">
        <w:rPr>
          <w:rFonts w:asciiTheme="minorBidi" w:hAnsiTheme="minorBidi"/>
          <w:sz w:val="24"/>
          <w:szCs w:val="24"/>
        </w:rPr>
        <w:t>4</w:t>
      </w:r>
      <w:r>
        <w:rPr>
          <w:rFonts w:asciiTheme="minorBidi" w:hAnsiTheme="minorBidi"/>
          <w:sz w:val="24"/>
          <w:szCs w:val="24"/>
        </w:rPr>
        <w:t>), ces valeurs étant inférieures à l’intervalle physiologique (7,35–7,45).</w:t>
      </w:r>
    </w:p>
    <w:p w14:paraId="6F2EA8E5"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Cette acidémie s’explique par l’accumulation de métabolites acides dans l’organisme, notamment les corps cétoniques et le lactate, présents à des concentrations élevées, traduisant un état d’acidose métabolique plus sévère chez les patients en réanimation</w:t>
      </w:r>
      <w:r>
        <w:rPr>
          <w:rFonts w:asciiTheme="minorBidi" w:hAnsiTheme="minorBidi"/>
          <w:b/>
          <w:bCs/>
          <w:sz w:val="24"/>
          <w:szCs w:val="24"/>
        </w:rPr>
        <w:t>.</w:t>
      </w:r>
    </w:p>
    <w:p w14:paraId="6C123EDE" w14:textId="77777777" w:rsidR="00502BB2" w:rsidRDefault="00502BB2">
      <w:pPr>
        <w:spacing w:line="360" w:lineRule="auto"/>
        <w:ind w:left="360"/>
        <w:rPr>
          <w:rFonts w:asciiTheme="minorBidi" w:hAnsiTheme="minorBidi"/>
          <w:b/>
          <w:bCs/>
          <w:sz w:val="24"/>
          <w:szCs w:val="24"/>
        </w:rPr>
      </w:pPr>
    </w:p>
    <w:p w14:paraId="1302B739" w14:textId="77777777" w:rsidR="00502BB2" w:rsidRDefault="0069123E">
      <w:pPr>
        <w:pStyle w:val="Heading4"/>
        <w:numPr>
          <w:ilvl w:val="0"/>
          <w:numId w:val="14"/>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Lactate et hco3- :</w:t>
      </w:r>
    </w:p>
    <w:p w14:paraId="6A3BC0D3" w14:textId="77777777" w:rsidR="00502BB2" w:rsidRDefault="0069123E">
      <w:pPr>
        <w:keepNext/>
        <w:spacing w:line="360" w:lineRule="auto"/>
        <w:jc w:val="center"/>
      </w:pPr>
      <w:r>
        <w:rPr>
          <w:rFonts w:asciiTheme="minorBidi" w:hAnsiTheme="minorBidi"/>
          <w:sz w:val="24"/>
          <w:szCs w:val="24"/>
        </w:rPr>
        <w:object w:dxaOrig="8434" w:dyaOrig="5016" w14:anchorId="2016E704">
          <v:shape id="_x0000_i1033" type="#_x0000_t75" style="width:422.55pt;height:251.15pt" o:ole="">
            <v:imagedata r:id="rId113" o:title=""/>
          </v:shape>
          <o:OLEObject Type="Embed" ProgID="Prism10.Document" ShapeID="_x0000_i1033" DrawAspect="Content" ObjectID="_1842872868" r:id="rId114"/>
        </w:object>
      </w:r>
    </w:p>
    <w:p w14:paraId="1161448F" w14:textId="73791396" w:rsidR="00502BB2" w:rsidRDefault="0069123E">
      <w:pPr>
        <w:pStyle w:val="Caption"/>
        <w:jc w:val="center"/>
        <w:rPr>
          <w:rFonts w:asciiTheme="minorBidi" w:hAnsiTheme="minorBidi"/>
          <w:sz w:val="24"/>
          <w:szCs w:val="24"/>
        </w:rPr>
      </w:pPr>
      <w:bookmarkStart w:id="90" w:name="_Toc225723041"/>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37</w:t>
      </w:r>
      <w:r>
        <w:rPr>
          <w:rFonts w:asciiTheme="minorBidi" w:hAnsiTheme="minorBidi"/>
          <w:b/>
          <w:bCs/>
          <w:sz w:val="24"/>
          <w:szCs w:val="24"/>
        </w:rPr>
        <w:fldChar w:fldCharType="end"/>
      </w:r>
      <w:r>
        <w:rPr>
          <w:rFonts w:asciiTheme="minorBidi" w:hAnsiTheme="minorBidi"/>
          <w:sz w:val="24"/>
          <w:szCs w:val="24"/>
        </w:rPr>
        <w:t xml:space="preserve"> : Figure des moyennes de Lactate et HCO3-</w:t>
      </w:r>
      <w:bookmarkEnd w:id="90"/>
    </w:p>
    <w:p w14:paraId="5B8FD69F" w14:textId="0770ADA6" w:rsidR="00502BB2" w:rsidRDefault="0069123E">
      <w:pPr>
        <w:spacing w:line="360" w:lineRule="auto"/>
        <w:ind w:firstLine="708"/>
        <w:jc w:val="both"/>
        <w:rPr>
          <w:rFonts w:asciiTheme="minorBidi" w:hAnsiTheme="minorBidi"/>
          <w:sz w:val="24"/>
          <w:szCs w:val="24"/>
        </w:rPr>
      </w:pPr>
      <w:bookmarkStart w:id="91" w:name="OLE_LINK5"/>
      <w:r>
        <w:rPr>
          <w:rFonts w:asciiTheme="minorBidi" w:hAnsiTheme="minorBidi"/>
          <w:sz w:val="24"/>
          <w:szCs w:val="24"/>
        </w:rPr>
        <w:t xml:space="preserve">Les données présentées dans la </w:t>
      </w:r>
      <w:r>
        <w:rPr>
          <w:rFonts w:asciiTheme="minorBidi" w:hAnsiTheme="minorBidi"/>
          <w:b/>
          <w:bCs/>
          <w:sz w:val="24"/>
          <w:szCs w:val="24"/>
        </w:rPr>
        <w:t>figure 3</w:t>
      </w:r>
      <w:r w:rsidR="003462B7">
        <w:rPr>
          <w:rFonts w:asciiTheme="minorBidi" w:hAnsiTheme="minorBidi"/>
          <w:b/>
          <w:bCs/>
          <w:sz w:val="24"/>
          <w:szCs w:val="24"/>
        </w:rPr>
        <w:t>7</w:t>
      </w:r>
      <w:r>
        <w:rPr>
          <w:rFonts w:asciiTheme="minorBidi" w:hAnsiTheme="minorBidi"/>
          <w:sz w:val="24"/>
          <w:szCs w:val="24"/>
        </w:rPr>
        <w:t xml:space="preserve"> sont exprimées sous forme de moyennes ± écarts-types. Le nombre d’étoiles correspond au degré de significativité statistique de la différence observée entre les deux populations, avec un seuil de signification fixé à </w:t>
      </w:r>
      <w:r>
        <w:rPr>
          <w:rFonts w:asciiTheme="minorBidi" w:hAnsiTheme="minorBidi"/>
          <w:i/>
          <w:iCs/>
          <w:sz w:val="24"/>
          <w:szCs w:val="24"/>
        </w:rPr>
        <w:t>p</w:t>
      </w:r>
      <w:r>
        <w:rPr>
          <w:rFonts w:asciiTheme="minorBidi" w:hAnsiTheme="minorBidi"/>
          <w:sz w:val="24"/>
          <w:szCs w:val="24"/>
        </w:rPr>
        <w:t xml:space="preserve"> &lt; 0,05, selon le test non paramétrique de Mann–Whitney.</w:t>
      </w:r>
    </w:p>
    <w:p w14:paraId="38298633"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lastRenderedPageBreak/>
        <w:t xml:space="preserve">L’analyse comparative des concentrations de lactate entre les deux groupes révèle une différence statistiquement significative. Les patients pris en charge au service de réanimation présentent une lactatémie moyenne de 2,76 ± 0,34 </w:t>
      </w:r>
      <w:proofErr w:type="spellStart"/>
      <w:r>
        <w:rPr>
          <w:rFonts w:asciiTheme="minorBidi" w:hAnsiTheme="minorBidi"/>
          <w:sz w:val="24"/>
          <w:szCs w:val="24"/>
        </w:rPr>
        <w:t>mmol</w:t>
      </w:r>
      <w:proofErr w:type="spellEnd"/>
      <w:r>
        <w:rPr>
          <w:rFonts w:asciiTheme="minorBidi" w:hAnsiTheme="minorBidi"/>
          <w:sz w:val="24"/>
          <w:szCs w:val="24"/>
        </w:rPr>
        <w:t xml:space="preserve">/L, supérieure à celle mesurée chez les patients hospitalisés au service de médecine interne, qui est de 1,45 ± 0,39 </w:t>
      </w:r>
      <w:proofErr w:type="spellStart"/>
      <w:r>
        <w:rPr>
          <w:rFonts w:asciiTheme="minorBidi" w:hAnsiTheme="minorBidi"/>
          <w:sz w:val="24"/>
          <w:szCs w:val="24"/>
        </w:rPr>
        <w:t>mmol</w:t>
      </w:r>
      <w:proofErr w:type="spellEnd"/>
      <w:r>
        <w:rPr>
          <w:rFonts w:asciiTheme="minorBidi" w:hAnsiTheme="minorBidi"/>
          <w:sz w:val="24"/>
          <w:szCs w:val="24"/>
        </w:rPr>
        <w:t xml:space="preserve">/L. Cette dernière demeure dans l’intervalle des valeurs de référence cliniques, estimé entre 0,5 et 2 </w:t>
      </w:r>
      <w:proofErr w:type="spellStart"/>
      <w:r>
        <w:rPr>
          <w:rFonts w:asciiTheme="minorBidi" w:hAnsiTheme="minorBidi"/>
          <w:sz w:val="24"/>
          <w:szCs w:val="24"/>
        </w:rPr>
        <w:t>mmol</w:t>
      </w:r>
      <w:proofErr w:type="spellEnd"/>
      <w:r>
        <w:rPr>
          <w:rFonts w:asciiTheme="minorBidi" w:hAnsiTheme="minorBidi"/>
          <w:sz w:val="24"/>
          <w:szCs w:val="24"/>
        </w:rPr>
        <w:t>/L. L’augmentation du lactate observée chez les patients de réanimation pourrait s’expliquer par l’installation d’une hypoxie tissulaire ou cellulaire, entraînant une prédominance du métabolisme anaérobie et, par conséquent, une conversion accrue du pyruvate en lactate.</w:t>
      </w:r>
    </w:p>
    <w:p w14:paraId="2C0E36B5"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Concernant le bicarbonate, principal système tampon intervenant dans le maintien de l’équilibre acido-basique du milieu intérieur, l’analyse met également en évidence une différence significative entre les deux groupes. Les patients du service de réanimation présentent une concentration moyenne en HCO3− de 8,81 ± 2,36 </w:t>
      </w:r>
      <w:proofErr w:type="spellStart"/>
      <w:r>
        <w:rPr>
          <w:rFonts w:asciiTheme="minorBidi" w:hAnsiTheme="minorBidi"/>
          <w:sz w:val="24"/>
          <w:szCs w:val="24"/>
        </w:rPr>
        <w:t>mmol</w:t>
      </w:r>
      <w:proofErr w:type="spellEnd"/>
      <w:r>
        <w:rPr>
          <w:rFonts w:asciiTheme="minorBidi" w:hAnsiTheme="minorBidi"/>
          <w:sz w:val="24"/>
          <w:szCs w:val="24"/>
        </w:rPr>
        <w:t xml:space="preserve">/L, nettement inférieure à celle relevée chez les patients du service de médecine interne, qui est de 18,57 ± 2,84 </w:t>
      </w:r>
      <w:proofErr w:type="spellStart"/>
      <w:r>
        <w:rPr>
          <w:rFonts w:asciiTheme="minorBidi" w:hAnsiTheme="minorBidi"/>
          <w:sz w:val="24"/>
          <w:szCs w:val="24"/>
        </w:rPr>
        <w:t>mmol</w:t>
      </w:r>
      <w:proofErr w:type="spellEnd"/>
      <w:r>
        <w:rPr>
          <w:rFonts w:asciiTheme="minorBidi" w:hAnsiTheme="minorBidi"/>
          <w:sz w:val="24"/>
          <w:szCs w:val="24"/>
        </w:rPr>
        <w:t xml:space="preserve">/L. Néanmoins, ce dernier reste elle aussi inférieure aux valeurs usuelles de référence, généralement comprises entre 22 et 26 </w:t>
      </w:r>
      <w:proofErr w:type="spellStart"/>
      <w:r>
        <w:rPr>
          <w:rFonts w:asciiTheme="minorBidi" w:hAnsiTheme="minorBidi"/>
          <w:sz w:val="24"/>
          <w:szCs w:val="24"/>
        </w:rPr>
        <w:t>mmol</w:t>
      </w:r>
      <w:proofErr w:type="spellEnd"/>
      <w:r>
        <w:rPr>
          <w:rFonts w:asciiTheme="minorBidi" w:hAnsiTheme="minorBidi"/>
          <w:sz w:val="24"/>
          <w:szCs w:val="24"/>
        </w:rPr>
        <w:t>/L. Cette diminution marquée du bicarbonate traduit un trouble acido-basique important, en lien avec l’accumulation des corps cétoniques, responsables d’une acidose métabolique caractéristique.</w:t>
      </w:r>
    </w:p>
    <w:p w14:paraId="385591F9" w14:textId="77777777" w:rsidR="00502BB2" w:rsidRDefault="00502BB2">
      <w:pPr>
        <w:spacing w:line="360" w:lineRule="auto"/>
        <w:ind w:firstLine="708"/>
        <w:jc w:val="both"/>
        <w:rPr>
          <w:rFonts w:asciiTheme="minorBidi" w:hAnsiTheme="minorBidi"/>
          <w:sz w:val="24"/>
          <w:szCs w:val="24"/>
        </w:rPr>
      </w:pPr>
    </w:p>
    <w:p w14:paraId="45CDDD97" w14:textId="77777777" w:rsidR="00502BB2" w:rsidRDefault="00502BB2">
      <w:pPr>
        <w:spacing w:line="360" w:lineRule="auto"/>
        <w:ind w:firstLine="708"/>
        <w:jc w:val="both"/>
        <w:rPr>
          <w:rFonts w:asciiTheme="minorBidi" w:hAnsiTheme="minorBidi"/>
          <w:sz w:val="24"/>
          <w:szCs w:val="24"/>
        </w:rPr>
      </w:pPr>
    </w:p>
    <w:p w14:paraId="05BAC56C" w14:textId="77777777" w:rsidR="00502BB2" w:rsidRDefault="00502BB2">
      <w:pPr>
        <w:spacing w:line="360" w:lineRule="auto"/>
        <w:ind w:firstLine="708"/>
        <w:jc w:val="both"/>
        <w:rPr>
          <w:rFonts w:asciiTheme="minorBidi" w:hAnsiTheme="minorBidi"/>
          <w:sz w:val="24"/>
          <w:szCs w:val="24"/>
        </w:rPr>
      </w:pPr>
    </w:p>
    <w:p w14:paraId="6934725C" w14:textId="77777777" w:rsidR="00502BB2" w:rsidRDefault="00502BB2">
      <w:pPr>
        <w:spacing w:line="360" w:lineRule="auto"/>
        <w:ind w:firstLine="708"/>
        <w:jc w:val="both"/>
        <w:rPr>
          <w:rFonts w:asciiTheme="minorBidi" w:hAnsiTheme="minorBidi"/>
          <w:sz w:val="24"/>
          <w:szCs w:val="24"/>
        </w:rPr>
      </w:pPr>
    </w:p>
    <w:p w14:paraId="1C14211F" w14:textId="77777777" w:rsidR="00502BB2" w:rsidRDefault="00502BB2">
      <w:pPr>
        <w:spacing w:line="360" w:lineRule="auto"/>
        <w:ind w:firstLine="708"/>
        <w:jc w:val="both"/>
        <w:rPr>
          <w:rFonts w:asciiTheme="minorBidi" w:hAnsiTheme="minorBidi"/>
          <w:sz w:val="24"/>
          <w:szCs w:val="24"/>
        </w:rPr>
      </w:pPr>
    </w:p>
    <w:p w14:paraId="4B4752BD" w14:textId="77777777" w:rsidR="00502BB2" w:rsidRDefault="00502BB2">
      <w:pPr>
        <w:spacing w:line="360" w:lineRule="auto"/>
        <w:ind w:firstLine="708"/>
        <w:jc w:val="both"/>
        <w:rPr>
          <w:rFonts w:asciiTheme="minorBidi" w:hAnsiTheme="minorBidi"/>
          <w:sz w:val="24"/>
          <w:szCs w:val="24"/>
        </w:rPr>
      </w:pPr>
    </w:p>
    <w:p w14:paraId="0A3E0A82" w14:textId="77777777" w:rsidR="00502BB2" w:rsidRDefault="00502BB2">
      <w:pPr>
        <w:spacing w:line="360" w:lineRule="auto"/>
        <w:ind w:firstLine="708"/>
        <w:jc w:val="both"/>
        <w:rPr>
          <w:rFonts w:asciiTheme="minorBidi" w:hAnsiTheme="minorBidi"/>
          <w:sz w:val="24"/>
          <w:szCs w:val="24"/>
        </w:rPr>
      </w:pPr>
    </w:p>
    <w:p w14:paraId="0925DBA5" w14:textId="77777777" w:rsidR="00502BB2" w:rsidRDefault="00502BB2">
      <w:pPr>
        <w:spacing w:line="360" w:lineRule="auto"/>
        <w:ind w:firstLine="708"/>
        <w:jc w:val="both"/>
        <w:rPr>
          <w:rFonts w:asciiTheme="minorBidi" w:hAnsiTheme="minorBidi"/>
          <w:sz w:val="24"/>
          <w:szCs w:val="24"/>
        </w:rPr>
      </w:pPr>
    </w:p>
    <w:bookmarkEnd w:id="91"/>
    <w:p w14:paraId="0C68082F" w14:textId="77777777" w:rsidR="00502BB2" w:rsidRDefault="0069123E">
      <w:pPr>
        <w:pStyle w:val="Heading4"/>
        <w:numPr>
          <w:ilvl w:val="0"/>
          <w:numId w:val="14"/>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lastRenderedPageBreak/>
        <w:t>Les électrolytes :</w:t>
      </w:r>
    </w:p>
    <w:p w14:paraId="0E0EB23E" w14:textId="77777777" w:rsidR="00502BB2" w:rsidRDefault="00502BB2">
      <w:pPr>
        <w:spacing w:line="360" w:lineRule="auto"/>
        <w:ind w:left="360"/>
        <w:rPr>
          <w:rFonts w:asciiTheme="minorBidi" w:hAnsiTheme="minorBidi"/>
          <w:sz w:val="24"/>
          <w:szCs w:val="24"/>
        </w:rPr>
      </w:pPr>
    </w:p>
    <w:p w14:paraId="64D8ACB8" w14:textId="77777777" w:rsidR="00502BB2" w:rsidRDefault="0069123E">
      <w:pPr>
        <w:keepNext/>
        <w:spacing w:line="360" w:lineRule="auto"/>
        <w:ind w:left="360"/>
        <w:jc w:val="center"/>
      </w:pPr>
      <w:r>
        <w:rPr>
          <w:rFonts w:asciiTheme="minorBidi" w:hAnsiTheme="minorBidi"/>
          <w:sz w:val="24"/>
          <w:szCs w:val="24"/>
        </w:rPr>
        <w:object w:dxaOrig="8577" w:dyaOrig="4383" w14:anchorId="29A9565A">
          <v:shape id="_x0000_i1034" type="#_x0000_t75" style="width:428.55pt;height:218.55pt" o:ole="">
            <v:imagedata r:id="rId115" o:title=""/>
          </v:shape>
          <o:OLEObject Type="Embed" ProgID="Prism10.Document" ShapeID="_x0000_i1034" DrawAspect="Content" ObjectID="_1842872869" r:id="rId116"/>
        </w:object>
      </w:r>
    </w:p>
    <w:p w14:paraId="6766F186" w14:textId="170AE7F6" w:rsidR="00502BB2" w:rsidRDefault="0069123E">
      <w:pPr>
        <w:pStyle w:val="Caption"/>
        <w:jc w:val="center"/>
        <w:rPr>
          <w:rFonts w:asciiTheme="minorBidi" w:hAnsiTheme="minorBidi"/>
          <w:sz w:val="24"/>
          <w:szCs w:val="24"/>
        </w:rPr>
      </w:pPr>
      <w:bookmarkStart w:id="92" w:name="_Toc225723042"/>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38</w:t>
      </w:r>
      <w:r>
        <w:rPr>
          <w:rFonts w:asciiTheme="minorBidi" w:hAnsiTheme="minorBidi"/>
          <w:b/>
          <w:bCs/>
          <w:sz w:val="24"/>
          <w:szCs w:val="24"/>
        </w:rPr>
        <w:fldChar w:fldCharType="end"/>
      </w:r>
      <w:r>
        <w:rPr>
          <w:b/>
          <w:bCs/>
        </w:rPr>
        <w:t xml:space="preserve"> : </w:t>
      </w:r>
      <w:r>
        <w:rPr>
          <w:rFonts w:asciiTheme="minorBidi" w:hAnsiTheme="minorBidi"/>
          <w:sz w:val="24"/>
          <w:szCs w:val="24"/>
        </w:rPr>
        <w:t>Figure des moyennes des électrolytes (Na+ et Cl-)</w:t>
      </w:r>
      <w:bookmarkEnd w:id="92"/>
    </w:p>
    <w:p w14:paraId="734C83FC" w14:textId="28100C98"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 xml:space="preserve">Les valeurs présentées dans </w:t>
      </w:r>
      <w:r>
        <w:rPr>
          <w:rFonts w:asciiTheme="minorBidi" w:hAnsiTheme="minorBidi"/>
          <w:b/>
          <w:bCs/>
          <w:sz w:val="24"/>
          <w:szCs w:val="24"/>
        </w:rPr>
        <w:t>la figure 3</w:t>
      </w:r>
      <w:r w:rsidR="003462B7">
        <w:rPr>
          <w:rFonts w:asciiTheme="minorBidi" w:hAnsiTheme="minorBidi"/>
          <w:b/>
          <w:bCs/>
          <w:sz w:val="24"/>
          <w:szCs w:val="24"/>
        </w:rPr>
        <w:t>8</w:t>
      </w:r>
      <w:r>
        <w:rPr>
          <w:rFonts w:asciiTheme="minorBidi" w:hAnsiTheme="minorBidi"/>
          <w:sz w:val="24"/>
          <w:szCs w:val="24"/>
        </w:rPr>
        <w:t xml:space="preserve"> sont exprimées en moyennes ± écarts-types. La mention </w:t>
      </w:r>
      <w:r>
        <w:rPr>
          <w:rFonts w:asciiTheme="minorBidi" w:hAnsiTheme="minorBidi"/>
          <w:b/>
          <w:bCs/>
          <w:sz w:val="24"/>
          <w:szCs w:val="24"/>
        </w:rPr>
        <w:t>ns</w:t>
      </w:r>
      <w:r>
        <w:rPr>
          <w:rFonts w:asciiTheme="minorBidi" w:hAnsiTheme="minorBidi"/>
          <w:sz w:val="24"/>
          <w:szCs w:val="24"/>
        </w:rPr>
        <w:t xml:space="preserve"> indique l’absence de différence statistiquement significative entre les deux populations pour un seuil de </w:t>
      </w:r>
      <w:r>
        <w:rPr>
          <w:rFonts w:asciiTheme="minorBidi" w:hAnsiTheme="minorBidi"/>
          <w:i/>
          <w:iCs/>
          <w:sz w:val="24"/>
          <w:szCs w:val="24"/>
        </w:rPr>
        <w:t>p</w:t>
      </w:r>
      <w:r>
        <w:rPr>
          <w:rFonts w:asciiTheme="minorBidi" w:hAnsiTheme="minorBidi"/>
          <w:sz w:val="24"/>
          <w:szCs w:val="24"/>
        </w:rPr>
        <w:t xml:space="preserve"> &lt; 0,05, selon le test </w:t>
      </w:r>
      <w:r>
        <w:rPr>
          <w:rFonts w:asciiTheme="minorBidi" w:hAnsiTheme="minorBidi"/>
          <w:i/>
          <w:iCs/>
          <w:sz w:val="24"/>
          <w:szCs w:val="24"/>
        </w:rPr>
        <w:t>t</w:t>
      </w:r>
      <w:r>
        <w:rPr>
          <w:rFonts w:asciiTheme="minorBidi" w:hAnsiTheme="minorBidi"/>
          <w:sz w:val="24"/>
          <w:szCs w:val="24"/>
        </w:rPr>
        <w:t xml:space="preserve"> de Student. Le nombre d’astérisques, quant à lui, indique le degré de significativité statistique de la différence observée entre les deux populations pour un seuil de </w:t>
      </w:r>
      <w:r>
        <w:rPr>
          <w:rFonts w:asciiTheme="minorBidi" w:hAnsiTheme="minorBidi"/>
          <w:i/>
          <w:iCs/>
          <w:sz w:val="24"/>
          <w:szCs w:val="24"/>
        </w:rPr>
        <w:t>p</w:t>
      </w:r>
      <w:r>
        <w:rPr>
          <w:rFonts w:asciiTheme="minorBidi" w:hAnsiTheme="minorBidi"/>
          <w:sz w:val="24"/>
          <w:szCs w:val="24"/>
        </w:rPr>
        <w:t xml:space="preserve"> &lt; 0,05, déterminé par le test non paramétrique de Mann–Whitney.</w:t>
      </w:r>
    </w:p>
    <w:p w14:paraId="59704060"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 xml:space="preserve">L’analyse statistique des concentrations sériques en sodium (Na+) entre les deux groupes ne met en évidence aucune différence significative. En effet, la concentration moyenne en sodium observée chez les patients du service de réanimation est de 137,3 ± 2,447 </w:t>
      </w:r>
      <w:proofErr w:type="spellStart"/>
      <w:r>
        <w:rPr>
          <w:rFonts w:asciiTheme="minorBidi" w:hAnsiTheme="minorBidi"/>
          <w:sz w:val="24"/>
          <w:szCs w:val="24"/>
        </w:rPr>
        <w:t>mmol</w:t>
      </w:r>
      <w:proofErr w:type="spellEnd"/>
      <w:r>
        <w:rPr>
          <w:rFonts w:asciiTheme="minorBidi" w:hAnsiTheme="minorBidi"/>
          <w:sz w:val="24"/>
          <w:szCs w:val="24"/>
        </w:rPr>
        <w:t xml:space="preserve">/L, tandis que celle des patients du service de médecine interne est de 137,5 ± 1,296 </w:t>
      </w:r>
      <w:proofErr w:type="spellStart"/>
      <w:r>
        <w:rPr>
          <w:rFonts w:asciiTheme="minorBidi" w:hAnsiTheme="minorBidi"/>
          <w:sz w:val="24"/>
          <w:szCs w:val="24"/>
        </w:rPr>
        <w:t>mmol</w:t>
      </w:r>
      <w:proofErr w:type="spellEnd"/>
      <w:r>
        <w:rPr>
          <w:rFonts w:asciiTheme="minorBidi" w:hAnsiTheme="minorBidi"/>
          <w:sz w:val="24"/>
          <w:szCs w:val="24"/>
        </w:rPr>
        <w:t xml:space="preserve">/L. Ces deux valeurs demeurent dans l’intervalle de référence clinique, généralement compris entre 135 et 145 </w:t>
      </w:r>
      <w:proofErr w:type="spellStart"/>
      <w:r>
        <w:rPr>
          <w:rFonts w:asciiTheme="minorBidi" w:hAnsiTheme="minorBidi"/>
          <w:sz w:val="24"/>
          <w:szCs w:val="24"/>
        </w:rPr>
        <w:t>mmol</w:t>
      </w:r>
      <w:proofErr w:type="spellEnd"/>
      <w:r>
        <w:rPr>
          <w:rFonts w:asciiTheme="minorBidi" w:hAnsiTheme="minorBidi"/>
          <w:sz w:val="24"/>
          <w:szCs w:val="24"/>
        </w:rPr>
        <w:t>/L.</w:t>
      </w:r>
    </w:p>
    <w:p w14:paraId="42627705"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 xml:space="preserve">En revanche, l’analyse statistique des concentrations sériques en chlore (Cl−) met en évidence une différence significative entre les deux groupes. Les patients du service de réanimation présentent une concentration moyenne de 107,5 </w:t>
      </w:r>
      <w:r>
        <w:rPr>
          <w:rFonts w:asciiTheme="minorBidi" w:hAnsiTheme="minorBidi"/>
          <w:sz w:val="24"/>
          <w:szCs w:val="24"/>
        </w:rPr>
        <w:lastRenderedPageBreak/>
        <w:t xml:space="preserve">± 5,047 </w:t>
      </w:r>
      <w:proofErr w:type="spellStart"/>
      <w:r>
        <w:rPr>
          <w:rFonts w:asciiTheme="minorBidi" w:hAnsiTheme="minorBidi"/>
          <w:sz w:val="24"/>
          <w:szCs w:val="24"/>
        </w:rPr>
        <w:t>mmol</w:t>
      </w:r>
      <w:proofErr w:type="spellEnd"/>
      <w:r>
        <w:rPr>
          <w:rFonts w:asciiTheme="minorBidi" w:hAnsiTheme="minorBidi"/>
          <w:sz w:val="24"/>
          <w:szCs w:val="24"/>
        </w:rPr>
        <w:t xml:space="preserve">/L, supérieure à celle enregistrée chez les patients du service de médecine interne, qui est de 100,1 ± 1,986 </w:t>
      </w:r>
      <w:proofErr w:type="spellStart"/>
      <w:r>
        <w:rPr>
          <w:rFonts w:asciiTheme="minorBidi" w:hAnsiTheme="minorBidi"/>
          <w:sz w:val="24"/>
          <w:szCs w:val="24"/>
        </w:rPr>
        <w:t>mmol</w:t>
      </w:r>
      <w:proofErr w:type="spellEnd"/>
      <w:r>
        <w:rPr>
          <w:rFonts w:asciiTheme="minorBidi" w:hAnsiTheme="minorBidi"/>
          <w:sz w:val="24"/>
          <w:szCs w:val="24"/>
        </w:rPr>
        <w:t xml:space="preserve">/L. Bien que ces deux valeurs restent globalement dans les limites de référence clinique, situées entre 98 et 108 </w:t>
      </w:r>
      <w:proofErr w:type="spellStart"/>
      <w:r>
        <w:rPr>
          <w:rFonts w:asciiTheme="minorBidi" w:hAnsiTheme="minorBidi"/>
          <w:sz w:val="24"/>
          <w:szCs w:val="24"/>
        </w:rPr>
        <w:t>mmol</w:t>
      </w:r>
      <w:proofErr w:type="spellEnd"/>
      <w:r>
        <w:rPr>
          <w:rFonts w:asciiTheme="minorBidi" w:hAnsiTheme="minorBidi"/>
          <w:sz w:val="24"/>
          <w:szCs w:val="24"/>
        </w:rPr>
        <w:t>/L, la valeur observée en réanimation se rapproche davantage de la limite supérieure de la normale.</w:t>
      </w:r>
    </w:p>
    <w:p w14:paraId="567CD3FB" w14:textId="77777777" w:rsidR="00502BB2" w:rsidRDefault="0069123E">
      <w:pPr>
        <w:keepNext/>
        <w:spacing w:line="360" w:lineRule="auto"/>
        <w:ind w:left="-1" w:right="625"/>
        <w:jc w:val="center"/>
      </w:pPr>
      <w:r>
        <w:rPr>
          <w:rFonts w:asciiTheme="minorBidi" w:hAnsiTheme="minorBidi"/>
          <w:sz w:val="24"/>
          <w:szCs w:val="24"/>
        </w:rPr>
        <w:object w:dxaOrig="8339" w:dyaOrig="6361" w14:anchorId="606282A0">
          <v:shape id="_x0000_i1035" type="#_x0000_t75" style="width:416.55pt;height:318pt" o:ole="">
            <v:imagedata r:id="rId117" o:title=""/>
          </v:shape>
          <o:OLEObject Type="Embed" ProgID="Prism10.Document" ShapeID="_x0000_i1035" DrawAspect="Content" ObjectID="_1842872870" r:id="rId118"/>
        </w:object>
      </w:r>
    </w:p>
    <w:p w14:paraId="0DDD23DF" w14:textId="1A8D8ED2" w:rsidR="00502BB2" w:rsidRDefault="0069123E">
      <w:pPr>
        <w:pStyle w:val="Caption"/>
        <w:jc w:val="center"/>
        <w:rPr>
          <w:rFonts w:asciiTheme="minorBidi" w:hAnsiTheme="minorBidi"/>
          <w:sz w:val="24"/>
          <w:szCs w:val="24"/>
        </w:rPr>
      </w:pPr>
      <w:bookmarkStart w:id="93" w:name="_Toc225723043"/>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39</w:t>
      </w:r>
      <w:r>
        <w:rPr>
          <w:rFonts w:asciiTheme="minorBidi" w:hAnsiTheme="minorBidi"/>
          <w:b/>
          <w:bCs/>
          <w:sz w:val="24"/>
          <w:szCs w:val="24"/>
        </w:rPr>
        <w:fldChar w:fldCharType="end"/>
      </w:r>
      <w:r>
        <w:rPr>
          <w:rFonts w:asciiTheme="minorBidi" w:hAnsiTheme="minorBidi"/>
          <w:sz w:val="24"/>
          <w:szCs w:val="24"/>
        </w:rPr>
        <w:t xml:space="preserve"> : Figure des moyennes d'électrolyte K+</w:t>
      </w:r>
      <w:bookmarkEnd w:id="93"/>
    </w:p>
    <w:p w14:paraId="77B5D3C3" w14:textId="40AB8C8B" w:rsidR="00502BB2" w:rsidRDefault="0069123E">
      <w:pPr>
        <w:spacing w:line="360" w:lineRule="auto"/>
        <w:ind w:left="-1" w:right="625" w:firstLine="361"/>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 xml:space="preserve">figure </w:t>
      </w:r>
      <w:r w:rsidR="003462B7">
        <w:rPr>
          <w:rFonts w:asciiTheme="minorBidi" w:hAnsiTheme="minorBidi"/>
          <w:b/>
          <w:bCs/>
          <w:sz w:val="24"/>
          <w:szCs w:val="24"/>
        </w:rPr>
        <w:t>39</w:t>
      </w:r>
      <w:r>
        <w:rPr>
          <w:rFonts w:asciiTheme="minorBidi" w:hAnsiTheme="minorBidi"/>
          <w:sz w:val="24"/>
          <w:szCs w:val="24"/>
        </w:rPr>
        <w:t xml:space="preserve">) sont exprimées sous forme de moyennes ± écart-type. Le nombre d’étoiles indique le niveau de différence significative entre les deux populations (p &lt; 0,05), déterminé à l’aide du test non paramétrique de Mann–Whitney </w:t>
      </w:r>
    </w:p>
    <w:p w14:paraId="1589D10F" w14:textId="77777777" w:rsidR="00502BB2" w:rsidRDefault="0069123E">
      <w:pPr>
        <w:spacing w:line="360" w:lineRule="auto"/>
        <w:ind w:left="-1" w:right="625" w:firstLine="361"/>
        <w:rPr>
          <w:rFonts w:asciiTheme="minorBidi" w:hAnsiTheme="minorBidi"/>
          <w:sz w:val="24"/>
          <w:szCs w:val="24"/>
        </w:rPr>
      </w:pPr>
      <w:r>
        <w:rPr>
          <w:rFonts w:asciiTheme="minorBidi" w:hAnsiTheme="minorBidi"/>
          <w:sz w:val="24"/>
          <w:szCs w:val="24"/>
        </w:rPr>
        <w:t xml:space="preserve">L’analyse statistique du potassium K+ entre les 2 groupe ne présente aucune différence significative, cependant on remarque qu’au niveau du service de réanimation le potassium est a 5.215±0.305mmol/l est supérieur que celui du </w:t>
      </w:r>
      <w:r>
        <w:rPr>
          <w:rFonts w:asciiTheme="minorBidi" w:hAnsiTheme="minorBidi"/>
          <w:sz w:val="24"/>
          <w:szCs w:val="24"/>
        </w:rPr>
        <w:lastRenderedPageBreak/>
        <w:t>service de médecine interne a 4.206±0.139mmol/l Qui se trouve dans les normes cliniques posées a 3.50-5mmol/L</w:t>
      </w:r>
      <w:r>
        <w:rPr>
          <w:rFonts w:asciiTheme="minorBidi" w:hAnsiTheme="minorBidi"/>
          <w:b/>
          <w:bCs/>
          <w:sz w:val="24"/>
          <w:szCs w:val="24"/>
        </w:rPr>
        <w:t xml:space="preserve">. </w:t>
      </w:r>
    </w:p>
    <w:p w14:paraId="6325F19B"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94" w:name="_Toc226577353"/>
      <w:r>
        <w:rPr>
          <w:rFonts w:asciiTheme="minorBidi" w:hAnsiTheme="minorBidi" w:cstheme="minorBidi"/>
          <w:b/>
          <w:bCs/>
          <w:color w:val="0D0D0D" w:themeColor="text1" w:themeTint="F2"/>
          <w:sz w:val="24"/>
          <w:szCs w:val="24"/>
        </w:rPr>
        <w:t>Trou anionique (Anion gap) :</w:t>
      </w:r>
      <w:bookmarkEnd w:id="94"/>
    </w:p>
    <w:p w14:paraId="41B2BA40" w14:textId="77777777" w:rsidR="00502BB2" w:rsidRDefault="0069123E">
      <w:pPr>
        <w:keepNext/>
        <w:spacing w:line="360" w:lineRule="auto"/>
        <w:ind w:left="360"/>
        <w:jc w:val="center"/>
      </w:pPr>
      <w:r>
        <w:rPr>
          <w:rFonts w:asciiTheme="minorBidi" w:hAnsiTheme="minorBidi"/>
          <w:sz w:val="24"/>
          <w:szCs w:val="24"/>
        </w:rPr>
        <w:object w:dxaOrig="7659" w:dyaOrig="5871" w14:anchorId="3E3A1C5A">
          <v:shape id="_x0000_i1036" type="#_x0000_t75" style="width:383.15pt;height:294pt" o:ole="">
            <v:imagedata r:id="rId119" o:title=""/>
          </v:shape>
          <o:OLEObject Type="Embed" ProgID="Prism10.Document" ShapeID="_x0000_i1036" DrawAspect="Content" ObjectID="_1842872871" r:id="rId120"/>
        </w:object>
      </w:r>
    </w:p>
    <w:p w14:paraId="009FF528" w14:textId="4E74E8EC" w:rsidR="00502BB2" w:rsidRDefault="0069123E">
      <w:pPr>
        <w:pStyle w:val="Caption"/>
        <w:jc w:val="center"/>
        <w:rPr>
          <w:rFonts w:asciiTheme="minorBidi" w:hAnsiTheme="minorBidi"/>
          <w:sz w:val="24"/>
          <w:szCs w:val="24"/>
        </w:rPr>
      </w:pPr>
      <w:bookmarkStart w:id="95" w:name="_Toc225723044"/>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40</w:t>
      </w:r>
      <w:r>
        <w:rPr>
          <w:rFonts w:asciiTheme="minorBidi" w:hAnsiTheme="minorBidi"/>
          <w:b/>
          <w:bCs/>
          <w:sz w:val="24"/>
          <w:szCs w:val="24"/>
        </w:rPr>
        <w:fldChar w:fldCharType="end"/>
      </w:r>
      <w:r>
        <w:rPr>
          <w:rFonts w:asciiTheme="minorBidi" w:hAnsiTheme="minorBidi"/>
          <w:sz w:val="24"/>
          <w:szCs w:val="24"/>
        </w:rPr>
        <w:t xml:space="preserve"> : Figure des moyennes du trou anionique</w:t>
      </w:r>
      <w:bookmarkEnd w:id="95"/>
    </w:p>
    <w:p w14:paraId="138CB316" w14:textId="58CC24AE" w:rsidR="00502BB2" w:rsidRDefault="0069123E">
      <w:pPr>
        <w:spacing w:line="360" w:lineRule="auto"/>
        <w:ind w:left="360" w:firstLine="34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4</w:t>
      </w:r>
      <w:r w:rsidR="003462B7">
        <w:rPr>
          <w:rFonts w:asciiTheme="minorBidi" w:hAnsiTheme="minorBidi"/>
          <w:b/>
          <w:bCs/>
          <w:sz w:val="24"/>
          <w:szCs w:val="24"/>
        </w:rPr>
        <w:t>0</w:t>
      </w:r>
      <w:r>
        <w:rPr>
          <w:rFonts w:asciiTheme="minorBidi" w:hAnsiTheme="minorBidi"/>
          <w:sz w:val="24"/>
          <w:szCs w:val="24"/>
        </w:rPr>
        <w:t>) sont exprimées sous forme de moyennes ± écart-type. Le nombre d’étoiles indique le niveau de différence significative entre les deux populations (p &lt; 0,05), déterminé à l’aide du test non paramétrique de Mann–Whitney.</w:t>
      </w:r>
    </w:p>
    <w:p w14:paraId="17BF0546" w14:textId="77777777" w:rsidR="00502BB2" w:rsidRDefault="0069123E">
      <w:pPr>
        <w:spacing w:line="360" w:lineRule="auto"/>
        <w:ind w:left="360" w:firstLine="348"/>
        <w:jc w:val="both"/>
        <w:rPr>
          <w:rFonts w:asciiTheme="minorBidi" w:hAnsiTheme="minorBidi"/>
          <w:sz w:val="24"/>
          <w:szCs w:val="24"/>
        </w:rPr>
      </w:pPr>
      <w:r>
        <w:rPr>
          <w:rFonts w:asciiTheme="minorBidi" w:hAnsiTheme="minorBidi"/>
          <w:sz w:val="24"/>
          <w:szCs w:val="24"/>
        </w:rPr>
        <w:t>L’analyse statistique de l’anion gap montre une différence significative entre les deux groupes. En effet, les patients du service de réanimation présentent des valeurs plus élevées (26,51 ± 6,205 mEq/L) comparativement à ceux du service de médecine interne (13,2 ± 3,160 mEq/L), ces derniers se situant dans l’intervalle physiologique (8–16 mEq/L).</w:t>
      </w:r>
    </w:p>
    <w:p w14:paraId="163A08D7" w14:textId="77777777" w:rsidR="00502BB2" w:rsidRDefault="0069123E">
      <w:pPr>
        <w:spacing w:line="360" w:lineRule="auto"/>
        <w:ind w:left="360" w:firstLine="348"/>
        <w:jc w:val="both"/>
        <w:rPr>
          <w:rFonts w:asciiTheme="minorBidi" w:hAnsiTheme="minorBidi"/>
          <w:sz w:val="24"/>
          <w:szCs w:val="24"/>
        </w:rPr>
      </w:pPr>
      <w:r>
        <w:rPr>
          <w:rFonts w:asciiTheme="minorBidi" w:hAnsiTheme="minorBidi"/>
          <w:sz w:val="24"/>
          <w:szCs w:val="24"/>
        </w:rPr>
        <w:lastRenderedPageBreak/>
        <w:t>Cette augmentation de l’anion gap s’explique par une perturbation de l’équilibre ionique, notamment liée à la diminution du bicarbonate (HCO</w:t>
      </w:r>
      <w:r>
        <w:rPr>
          <w:rFonts w:ascii="Cambria Math" w:hAnsi="Cambria Math" w:cs="Cambria Math"/>
          <w:sz w:val="24"/>
          <w:szCs w:val="24"/>
        </w:rPr>
        <w:t>₃⁻</w:t>
      </w:r>
      <w:r>
        <w:rPr>
          <w:rFonts w:asciiTheme="minorBidi" w:hAnsiTheme="minorBidi"/>
          <w:sz w:val="24"/>
          <w:szCs w:val="24"/>
        </w:rPr>
        <w:t>). Ce param</w:t>
      </w:r>
      <w:r>
        <w:rPr>
          <w:rFonts w:ascii="Arial" w:hAnsi="Arial" w:cs="Arial"/>
          <w:sz w:val="24"/>
          <w:szCs w:val="24"/>
        </w:rPr>
        <w:t>è</w:t>
      </w:r>
      <w:r>
        <w:rPr>
          <w:rFonts w:asciiTheme="minorBidi" w:hAnsiTheme="minorBidi"/>
          <w:sz w:val="24"/>
          <w:szCs w:val="24"/>
        </w:rPr>
        <w:t>tre constitue ainsi un indicateur cl</w:t>
      </w:r>
      <w:r>
        <w:rPr>
          <w:rFonts w:ascii="Arial" w:hAnsi="Arial" w:cs="Arial"/>
          <w:sz w:val="24"/>
          <w:szCs w:val="24"/>
        </w:rPr>
        <w:t>é</w:t>
      </w:r>
      <w:r>
        <w:rPr>
          <w:rFonts w:asciiTheme="minorBidi" w:hAnsiTheme="minorBidi"/>
          <w:sz w:val="24"/>
          <w:szCs w:val="24"/>
        </w:rPr>
        <w:t xml:space="preserve"> de la pr</w:t>
      </w:r>
      <w:r>
        <w:rPr>
          <w:rFonts w:ascii="Arial" w:hAnsi="Arial" w:cs="Arial"/>
          <w:sz w:val="24"/>
          <w:szCs w:val="24"/>
        </w:rPr>
        <w:t>é</w:t>
      </w:r>
      <w:r>
        <w:rPr>
          <w:rFonts w:asciiTheme="minorBidi" w:hAnsiTheme="minorBidi"/>
          <w:sz w:val="24"/>
          <w:szCs w:val="24"/>
        </w:rPr>
        <w:t>sence d</w:t>
      </w:r>
      <w:r>
        <w:rPr>
          <w:rFonts w:ascii="Arial" w:hAnsi="Arial" w:cs="Arial"/>
          <w:sz w:val="24"/>
          <w:szCs w:val="24"/>
        </w:rPr>
        <w:t>’</w:t>
      </w:r>
      <w:r>
        <w:rPr>
          <w:rFonts w:asciiTheme="minorBidi" w:hAnsiTheme="minorBidi"/>
          <w:sz w:val="24"/>
          <w:szCs w:val="24"/>
        </w:rPr>
        <w:t>une acidose m</w:t>
      </w:r>
      <w:r>
        <w:rPr>
          <w:rFonts w:ascii="Arial" w:hAnsi="Arial" w:cs="Arial"/>
          <w:sz w:val="24"/>
          <w:szCs w:val="24"/>
        </w:rPr>
        <w:t>é</w:t>
      </w:r>
      <w:r>
        <w:rPr>
          <w:rFonts w:asciiTheme="minorBidi" w:hAnsiTheme="minorBidi"/>
          <w:sz w:val="24"/>
          <w:szCs w:val="24"/>
        </w:rPr>
        <w:t xml:space="preserve">tabolique. </w:t>
      </w:r>
    </w:p>
    <w:p w14:paraId="4B71D6FD" w14:textId="77777777" w:rsidR="00502BB2" w:rsidRDefault="0069123E">
      <w:pPr>
        <w:pStyle w:val="Heading4"/>
        <w:numPr>
          <w:ilvl w:val="0"/>
          <w:numId w:val="13"/>
        </w:numPr>
        <w:rPr>
          <w:rFonts w:asciiTheme="minorBidi" w:hAnsiTheme="minorBidi" w:cstheme="minorBidi"/>
          <w:b/>
          <w:bCs/>
          <w:color w:val="0D0D0D" w:themeColor="text1" w:themeTint="F2"/>
          <w:sz w:val="24"/>
          <w:szCs w:val="24"/>
        </w:rPr>
      </w:pPr>
      <w:bookmarkStart w:id="96" w:name="_Toc226577354"/>
      <w:r>
        <w:rPr>
          <w:rStyle w:val="Heading3Char"/>
          <w:rFonts w:asciiTheme="minorBidi" w:hAnsiTheme="minorBidi" w:cstheme="minorBidi"/>
          <w:b/>
          <w:bCs/>
          <w:color w:val="0D0D0D" w:themeColor="text1" w:themeTint="F2"/>
          <w:sz w:val="24"/>
          <w:szCs w:val="24"/>
        </w:rPr>
        <w:t>Osmolarité</w:t>
      </w:r>
      <w:bookmarkEnd w:id="96"/>
      <w:r>
        <w:rPr>
          <w:rFonts w:asciiTheme="minorBidi" w:hAnsiTheme="minorBidi" w:cstheme="minorBidi"/>
          <w:b/>
          <w:bCs/>
          <w:color w:val="0D0D0D" w:themeColor="text1" w:themeTint="F2"/>
          <w:sz w:val="24"/>
          <w:szCs w:val="24"/>
        </w:rPr>
        <w:t> :</w:t>
      </w:r>
    </w:p>
    <w:p w14:paraId="695196EA" w14:textId="77777777" w:rsidR="00502BB2" w:rsidRDefault="0069123E">
      <w:pPr>
        <w:keepNext/>
        <w:spacing w:line="360" w:lineRule="auto"/>
        <w:ind w:left="360" w:right="625"/>
        <w:jc w:val="center"/>
      </w:pPr>
      <w:r>
        <w:rPr>
          <w:rFonts w:asciiTheme="minorBidi" w:hAnsiTheme="minorBidi"/>
          <w:sz w:val="24"/>
          <w:szCs w:val="24"/>
        </w:rPr>
        <w:object w:dxaOrig="7738" w:dyaOrig="6076" w14:anchorId="565E7592">
          <v:shape id="_x0000_i1037" type="#_x0000_t75" style="width:386.55pt;height:304.3pt" o:ole="">
            <v:imagedata r:id="rId121" o:title=""/>
          </v:shape>
          <o:OLEObject Type="Embed" ProgID="Prism10.Document" ShapeID="_x0000_i1037" DrawAspect="Content" ObjectID="_1842872872" r:id="rId122"/>
        </w:object>
      </w:r>
    </w:p>
    <w:p w14:paraId="7A177FD9" w14:textId="37B2B126" w:rsidR="00502BB2" w:rsidRDefault="0069123E">
      <w:pPr>
        <w:pStyle w:val="Caption"/>
        <w:jc w:val="center"/>
        <w:rPr>
          <w:rFonts w:asciiTheme="minorBidi" w:hAnsiTheme="minorBidi"/>
          <w:sz w:val="24"/>
          <w:szCs w:val="24"/>
        </w:rPr>
      </w:pPr>
      <w:bookmarkStart w:id="97" w:name="_Toc225723045"/>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41</w:t>
      </w:r>
      <w:r>
        <w:rPr>
          <w:rFonts w:asciiTheme="minorBidi" w:hAnsiTheme="minorBidi"/>
          <w:b/>
          <w:bCs/>
          <w:sz w:val="24"/>
          <w:szCs w:val="24"/>
        </w:rPr>
        <w:fldChar w:fldCharType="end"/>
      </w:r>
      <w:r>
        <w:rPr>
          <w:rFonts w:asciiTheme="minorBidi" w:hAnsiTheme="minorBidi"/>
          <w:sz w:val="24"/>
          <w:szCs w:val="24"/>
        </w:rPr>
        <w:t xml:space="preserve"> : Figure des moyennes d'osmolarité</w:t>
      </w:r>
      <w:bookmarkEnd w:id="97"/>
    </w:p>
    <w:p w14:paraId="729096CC" w14:textId="09544BE0"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4</w:t>
      </w:r>
      <w:r w:rsidR="003462B7">
        <w:rPr>
          <w:rFonts w:asciiTheme="minorBidi" w:hAnsiTheme="minorBidi"/>
          <w:b/>
          <w:bCs/>
          <w:sz w:val="24"/>
          <w:szCs w:val="24"/>
        </w:rPr>
        <w:t>1</w:t>
      </w:r>
      <w:r>
        <w:rPr>
          <w:rFonts w:asciiTheme="minorBidi" w:hAnsiTheme="minorBidi"/>
          <w:sz w:val="24"/>
          <w:szCs w:val="24"/>
        </w:rPr>
        <w:t>) sont exprimées sous forme de moyennes ± écart-type. Le nombre d’étoiles indique le niveau de différence significative entre les deux populations (p &lt; 0,05), déterminé à l’aide du test non paramétrique de Mann–Whitney.</w:t>
      </w:r>
    </w:p>
    <w:p w14:paraId="2FF610C3"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L’analyse statistique de l’osmolarité, qui reflète la concentration totale des particules osmotiquement actives (ions et molécules) dans le plasma, montre une différence significative entre les deux groupes. En effet, les patients du service de réanimation présentent des valeurs plus élevées (324,2 ± 6,75 mOsm/L) comparativement à ceux du service de médecine interne (303,7 ± 3,434 mOsm/L), ces derniers étant proches de l’intervalle physiologique (290–300 mOsm/L).</w:t>
      </w:r>
    </w:p>
    <w:p w14:paraId="0DEDDE09"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lastRenderedPageBreak/>
        <w:t>Cette élévation de l’osmolarité s’explique par un déséquilibre hydroélectrolytique associé à une perturbation de l’équilibre acido-basique</w:t>
      </w:r>
      <w:r>
        <w:rPr>
          <w:rFonts w:asciiTheme="minorBidi" w:hAnsiTheme="minorBidi"/>
          <w:b/>
          <w:bCs/>
          <w:sz w:val="24"/>
          <w:szCs w:val="24"/>
        </w:rPr>
        <w:t>.</w:t>
      </w:r>
    </w:p>
    <w:p w14:paraId="796BC6E6"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98" w:name="_Toc226577355"/>
      <w:r>
        <w:rPr>
          <w:rFonts w:asciiTheme="minorBidi" w:hAnsiTheme="minorBidi" w:cstheme="minorBidi"/>
          <w:b/>
          <w:bCs/>
          <w:color w:val="0D0D0D" w:themeColor="text1" w:themeTint="F2"/>
          <w:sz w:val="24"/>
          <w:szCs w:val="24"/>
        </w:rPr>
        <w:t>Score de Glasgow :</w:t>
      </w:r>
      <w:bookmarkEnd w:id="98"/>
    </w:p>
    <w:p w14:paraId="36BA5845" w14:textId="77777777" w:rsidR="00502BB2" w:rsidRDefault="0069123E">
      <w:pPr>
        <w:keepNext/>
        <w:spacing w:line="360" w:lineRule="auto"/>
        <w:jc w:val="center"/>
      </w:pPr>
      <w:r>
        <w:rPr>
          <w:rFonts w:asciiTheme="minorBidi" w:hAnsiTheme="minorBidi"/>
          <w:sz w:val="24"/>
          <w:szCs w:val="24"/>
        </w:rPr>
        <w:object w:dxaOrig="7960" w:dyaOrig="6061" w14:anchorId="00D149D2">
          <v:shape id="_x0000_i1038" type="#_x0000_t75" style="width:397.7pt;height:303.45pt" o:ole="">
            <v:imagedata r:id="rId123" o:title=""/>
          </v:shape>
          <o:OLEObject Type="Embed" ProgID="Prism10.Document" ShapeID="_x0000_i1038" DrawAspect="Content" ObjectID="_1842872873" r:id="rId124"/>
        </w:object>
      </w:r>
    </w:p>
    <w:p w14:paraId="25D92C81" w14:textId="06BA4567" w:rsidR="00502BB2" w:rsidRDefault="0069123E">
      <w:pPr>
        <w:pStyle w:val="Caption"/>
        <w:jc w:val="center"/>
        <w:rPr>
          <w:rFonts w:asciiTheme="minorBidi" w:hAnsiTheme="minorBidi"/>
          <w:sz w:val="24"/>
          <w:szCs w:val="24"/>
        </w:rPr>
      </w:pPr>
      <w:bookmarkStart w:id="99" w:name="_Toc225723046"/>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42</w:t>
      </w:r>
      <w:r>
        <w:rPr>
          <w:rFonts w:asciiTheme="minorBidi" w:hAnsiTheme="minorBidi"/>
          <w:b/>
          <w:bCs/>
          <w:sz w:val="24"/>
          <w:szCs w:val="24"/>
        </w:rPr>
        <w:fldChar w:fldCharType="end"/>
      </w:r>
      <w:r>
        <w:rPr>
          <w:rFonts w:asciiTheme="minorBidi" w:hAnsiTheme="minorBidi"/>
          <w:sz w:val="24"/>
          <w:szCs w:val="24"/>
        </w:rPr>
        <w:t xml:space="preserve"> : Figure des moyennes de GSC</w:t>
      </w:r>
      <w:bookmarkEnd w:id="99"/>
    </w:p>
    <w:p w14:paraId="178D17C0" w14:textId="5AD9086E"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4</w:t>
      </w:r>
      <w:r w:rsidR="003462B7">
        <w:rPr>
          <w:rFonts w:asciiTheme="minorBidi" w:hAnsiTheme="minorBidi"/>
          <w:b/>
          <w:bCs/>
          <w:sz w:val="24"/>
          <w:szCs w:val="24"/>
        </w:rPr>
        <w:t>2</w:t>
      </w:r>
      <w:r>
        <w:rPr>
          <w:rFonts w:asciiTheme="minorBidi" w:hAnsiTheme="minorBidi"/>
          <w:sz w:val="24"/>
          <w:szCs w:val="24"/>
        </w:rPr>
        <w:t>) sont exprimées sous forme de moyennes ± écart-type. Le nombre d’étoiles indique le niveau de différence significative entre les deux populations (p &lt; 0,05), déterminé à l’aide du test non paramétrique de Mann–Whitney.</w:t>
      </w:r>
    </w:p>
    <w:p w14:paraId="1AD4CDC9"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L’analyse statistique du score de Glasgow (GCS), qui évalue l’état de conscience, met en évidence une différence significative entre les deux groupes. En effet, les patients du service de réanimation présentent un score plus faible (10,89 ± 1,02) comparativement à ceux du service de médecine interne (14,80 ± 0,2), ces derniers étant proches de la valeur normale (GCS = 15).</w:t>
      </w:r>
    </w:p>
    <w:p w14:paraId="70E751DD"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 xml:space="preserve">Cette diminution du score de Glasgow s’explique par une altération de l’état de conscience chez les patients en réanimation, en lien avec les perturbations </w:t>
      </w:r>
      <w:r>
        <w:rPr>
          <w:rFonts w:asciiTheme="minorBidi" w:hAnsiTheme="minorBidi"/>
          <w:sz w:val="24"/>
          <w:szCs w:val="24"/>
        </w:rPr>
        <w:lastRenderedPageBreak/>
        <w:t>métaboliques observées, notamment l’acidose, l’hyperosmolarité et les déséquilibres ioniques.</w:t>
      </w:r>
    </w:p>
    <w:p w14:paraId="753C6DD0"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100" w:name="_Toc226577356"/>
      <w:r>
        <w:rPr>
          <w:rFonts w:asciiTheme="minorBidi" w:hAnsiTheme="minorBidi" w:cstheme="minorBidi"/>
          <w:b/>
          <w:bCs/>
          <w:color w:val="0D0D0D" w:themeColor="text1" w:themeTint="F2"/>
          <w:sz w:val="24"/>
          <w:szCs w:val="24"/>
        </w:rPr>
        <w:t>Température :</w:t>
      </w:r>
      <w:bookmarkEnd w:id="100"/>
    </w:p>
    <w:p w14:paraId="2A4DBF5F" w14:textId="77777777" w:rsidR="00502BB2" w:rsidRDefault="0069123E">
      <w:pPr>
        <w:keepNext/>
        <w:spacing w:line="360" w:lineRule="auto"/>
        <w:ind w:left="360" w:right="625"/>
        <w:jc w:val="center"/>
      </w:pPr>
      <w:r>
        <w:rPr>
          <w:rFonts w:asciiTheme="minorBidi" w:hAnsiTheme="minorBidi"/>
          <w:sz w:val="24"/>
          <w:szCs w:val="24"/>
        </w:rPr>
        <w:object w:dxaOrig="7580" w:dyaOrig="5776" w14:anchorId="7809A05A">
          <v:shape id="_x0000_i1039" type="#_x0000_t75" style="width:379.7pt;height:288.85pt" o:ole="">
            <v:imagedata r:id="rId125" o:title=""/>
          </v:shape>
          <o:OLEObject Type="Embed" ProgID="Prism10.Document" ShapeID="_x0000_i1039" DrawAspect="Content" ObjectID="_1842872874" r:id="rId126"/>
        </w:object>
      </w:r>
    </w:p>
    <w:p w14:paraId="03B36E44" w14:textId="6DEF9851" w:rsidR="00502BB2" w:rsidRDefault="0069123E">
      <w:pPr>
        <w:pStyle w:val="Caption"/>
        <w:jc w:val="center"/>
        <w:rPr>
          <w:rFonts w:asciiTheme="minorBidi" w:hAnsiTheme="minorBidi"/>
          <w:sz w:val="24"/>
          <w:szCs w:val="24"/>
        </w:rPr>
      </w:pPr>
      <w:bookmarkStart w:id="101" w:name="_Toc225723047"/>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43</w:t>
      </w:r>
      <w:r>
        <w:rPr>
          <w:rFonts w:asciiTheme="minorBidi" w:hAnsiTheme="minorBidi"/>
          <w:b/>
          <w:bCs/>
          <w:sz w:val="24"/>
          <w:szCs w:val="24"/>
        </w:rPr>
        <w:fldChar w:fldCharType="end"/>
      </w:r>
      <w:r>
        <w:rPr>
          <w:rFonts w:asciiTheme="minorBidi" w:hAnsiTheme="minorBidi"/>
          <w:sz w:val="24"/>
          <w:szCs w:val="24"/>
        </w:rPr>
        <w:t xml:space="preserve"> : Figure des moyennes de la température</w:t>
      </w:r>
      <w:bookmarkEnd w:id="101"/>
    </w:p>
    <w:p w14:paraId="1599D683" w14:textId="5725659F" w:rsidR="00502BB2" w:rsidRDefault="0069123E">
      <w:pPr>
        <w:spacing w:line="360" w:lineRule="auto"/>
        <w:ind w:right="625" w:firstLine="708"/>
        <w:jc w:val="both"/>
        <w:rPr>
          <w:rFonts w:asciiTheme="minorBidi" w:hAnsiTheme="minorBidi"/>
          <w:b/>
          <w:bCs/>
          <w:sz w:val="24"/>
          <w:szCs w:val="24"/>
        </w:rPr>
      </w:pPr>
      <w:r>
        <w:rPr>
          <w:rFonts w:asciiTheme="minorBidi" w:hAnsiTheme="minorBidi"/>
          <w:sz w:val="24"/>
          <w:szCs w:val="24"/>
        </w:rPr>
        <w:t>Les valeurs présentées (</w:t>
      </w:r>
      <w:r>
        <w:rPr>
          <w:rFonts w:asciiTheme="minorBidi" w:hAnsiTheme="minorBidi"/>
          <w:b/>
          <w:bCs/>
          <w:sz w:val="24"/>
          <w:szCs w:val="24"/>
        </w:rPr>
        <w:t>figure 4</w:t>
      </w:r>
      <w:r w:rsidR="003462B7">
        <w:rPr>
          <w:rFonts w:asciiTheme="minorBidi" w:hAnsiTheme="minorBidi"/>
          <w:b/>
          <w:bCs/>
          <w:sz w:val="24"/>
          <w:szCs w:val="24"/>
        </w:rPr>
        <w:t>3</w:t>
      </w:r>
      <w:r>
        <w:rPr>
          <w:rFonts w:asciiTheme="minorBidi" w:hAnsiTheme="minorBidi"/>
          <w:b/>
          <w:bCs/>
          <w:sz w:val="24"/>
          <w:szCs w:val="24"/>
        </w:rPr>
        <w:t>)</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t de Student</w:t>
      </w:r>
      <w:r>
        <w:rPr>
          <w:rFonts w:asciiTheme="minorBidi" w:hAnsiTheme="minorBidi"/>
          <w:b/>
          <w:bCs/>
          <w:sz w:val="24"/>
          <w:szCs w:val="24"/>
        </w:rPr>
        <w:t>.</w:t>
      </w:r>
    </w:p>
    <w:p w14:paraId="49C70EB8"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L’analyse statistique de la température corporelle ne montre pas de différence significative entre les deux groupes. En effet, les valeurs observées au niveau du service de réanimation (37,20 ± 0,38 °C) sont très proches de celles du service de médecine interne (37,24 ± 0,27 °C), et se situent dans l’intervalle physiologique (36,5–37,5 °C).</w:t>
      </w:r>
    </w:p>
    <w:p w14:paraId="748C8C58"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Ces résultats indiquent que la température corporelle ne constitue pas un paramètre discriminant entre les deux groupes dans ce contexte.</w:t>
      </w:r>
    </w:p>
    <w:p w14:paraId="4EF11490"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102" w:name="_Toc226577357"/>
      <w:r>
        <w:rPr>
          <w:rFonts w:asciiTheme="minorBidi" w:hAnsiTheme="minorBidi" w:cstheme="minorBidi"/>
          <w:b/>
          <w:bCs/>
          <w:color w:val="0D0D0D" w:themeColor="text1" w:themeTint="F2"/>
          <w:sz w:val="24"/>
          <w:szCs w:val="24"/>
        </w:rPr>
        <w:lastRenderedPageBreak/>
        <w:t>Tension artérielle :</w:t>
      </w:r>
      <w:bookmarkEnd w:id="102"/>
    </w:p>
    <w:p w14:paraId="11AEB740" w14:textId="77777777" w:rsidR="00502BB2" w:rsidRDefault="0069123E">
      <w:pPr>
        <w:keepNext/>
        <w:spacing w:line="360" w:lineRule="auto"/>
        <w:ind w:left="360" w:right="625"/>
        <w:jc w:val="center"/>
      </w:pPr>
      <w:r>
        <w:rPr>
          <w:rFonts w:asciiTheme="minorBidi" w:hAnsiTheme="minorBidi"/>
          <w:sz w:val="24"/>
          <w:szCs w:val="24"/>
        </w:rPr>
        <w:object w:dxaOrig="8434" w:dyaOrig="5206" w14:anchorId="24599D33">
          <v:shape id="_x0000_i1040" type="#_x0000_t75" style="width:422.55pt;height:259.7pt" o:ole="">
            <v:imagedata r:id="rId127" o:title=""/>
          </v:shape>
          <o:OLEObject Type="Embed" ProgID="Prism10.Document" ShapeID="_x0000_i1040" DrawAspect="Content" ObjectID="_1842872875" r:id="rId128"/>
        </w:object>
      </w:r>
    </w:p>
    <w:p w14:paraId="76B8CB0B" w14:textId="557C1672" w:rsidR="00502BB2" w:rsidRDefault="0069123E">
      <w:pPr>
        <w:pStyle w:val="Caption"/>
        <w:jc w:val="center"/>
        <w:rPr>
          <w:rFonts w:asciiTheme="minorBidi" w:hAnsiTheme="minorBidi"/>
          <w:sz w:val="24"/>
          <w:szCs w:val="24"/>
        </w:rPr>
      </w:pPr>
      <w:bookmarkStart w:id="103" w:name="_Toc225723048"/>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44</w:t>
      </w:r>
      <w:r>
        <w:rPr>
          <w:rFonts w:asciiTheme="minorBidi" w:hAnsiTheme="minorBidi"/>
          <w:b/>
          <w:bCs/>
          <w:sz w:val="24"/>
          <w:szCs w:val="24"/>
        </w:rPr>
        <w:fldChar w:fldCharType="end"/>
      </w:r>
      <w:r>
        <w:rPr>
          <w:rFonts w:asciiTheme="minorBidi" w:hAnsiTheme="minorBidi"/>
          <w:sz w:val="24"/>
          <w:szCs w:val="24"/>
        </w:rPr>
        <w:t>: Figure des moyennes de la tension artérielle</w:t>
      </w:r>
      <w:bookmarkEnd w:id="103"/>
    </w:p>
    <w:p w14:paraId="2A525910" w14:textId="4C068C22"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4</w:t>
      </w:r>
      <w:r w:rsidR="003462B7">
        <w:rPr>
          <w:rFonts w:asciiTheme="minorBidi" w:hAnsiTheme="minorBidi"/>
          <w:b/>
          <w:bCs/>
          <w:sz w:val="24"/>
          <w:szCs w:val="24"/>
        </w:rPr>
        <w:t>4</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t de Student, tandis que le nombre d’étoiles indique le niveau de différence significative (p &lt; 0,05), déterminé par le test non paramétrique de Mann–Whitney.</w:t>
      </w:r>
    </w:p>
    <w:p w14:paraId="342F7C3A"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L’analyse statistique de la tension artérielle systolique ne montre pas de différence significative entre les deux groupes. Toutefois, une diminution relative est observée chez les patients du service de réanimation (10,24 ± 0,51 cmHg) comparativement à ceux du service de médecine interne (11,32 ± 0,28 cmHg).</w:t>
      </w:r>
    </w:p>
    <w:p w14:paraId="1CBD8681"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En revanche, la tension artérielle diastolique présente une différence significative entre les deux groupes, avec des valeurs plus faibles en réanimation (6,235 ± 0,235 cmHg) qu’en médecine interne (6,842 ± 0,175 cmHg). Les valeurs observées dans les deux groupes restent inférieures aux normes cliniques (12/8 cmHg).</w:t>
      </w:r>
    </w:p>
    <w:p w14:paraId="2DDDB6A4"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lastRenderedPageBreak/>
        <w:t>Cette diminution de la pression artérielle peut s’expliquer par un état de déshydratation, la prise de certains traitements médicamenteux ou la présence de pathologies cardiovasculaires associées</w:t>
      </w:r>
      <w:r>
        <w:rPr>
          <w:rFonts w:asciiTheme="minorBidi" w:hAnsiTheme="minorBidi"/>
          <w:b/>
          <w:bCs/>
          <w:sz w:val="24"/>
          <w:szCs w:val="24"/>
        </w:rPr>
        <w:t>.</w:t>
      </w:r>
    </w:p>
    <w:p w14:paraId="2DB478C3"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104" w:name="_Toc226577358"/>
      <w:r>
        <w:rPr>
          <w:rFonts w:asciiTheme="minorBidi" w:hAnsiTheme="minorBidi" w:cstheme="minorBidi"/>
          <w:b/>
          <w:bCs/>
          <w:color w:val="0D0D0D" w:themeColor="text1" w:themeTint="F2"/>
          <w:sz w:val="24"/>
          <w:szCs w:val="24"/>
        </w:rPr>
        <w:t>Fréquence cardiaque :</w:t>
      </w:r>
      <w:bookmarkEnd w:id="104"/>
    </w:p>
    <w:p w14:paraId="7F8999BE" w14:textId="77777777" w:rsidR="00502BB2" w:rsidRDefault="0069123E">
      <w:pPr>
        <w:keepNext/>
        <w:spacing w:line="360" w:lineRule="auto"/>
        <w:ind w:left="360" w:right="625"/>
        <w:jc w:val="center"/>
      </w:pPr>
      <w:r>
        <w:rPr>
          <w:rFonts w:asciiTheme="minorBidi" w:hAnsiTheme="minorBidi"/>
          <w:sz w:val="24"/>
          <w:szCs w:val="24"/>
        </w:rPr>
        <w:object w:dxaOrig="7801" w:dyaOrig="6124" w14:anchorId="1CF08053">
          <v:shape id="_x0000_i1041" type="#_x0000_t75" style="width:390pt;height:306pt" o:ole="">
            <v:imagedata r:id="rId129" o:title=""/>
          </v:shape>
          <o:OLEObject Type="Embed" ProgID="Prism10.Document" ShapeID="_x0000_i1041" DrawAspect="Content" ObjectID="_1842872876" r:id="rId130"/>
        </w:object>
      </w:r>
    </w:p>
    <w:p w14:paraId="5CDC041C" w14:textId="4E08E57B" w:rsidR="00502BB2" w:rsidRDefault="0069123E">
      <w:pPr>
        <w:pStyle w:val="Caption"/>
        <w:jc w:val="center"/>
        <w:rPr>
          <w:rFonts w:asciiTheme="minorBidi" w:hAnsiTheme="minorBidi"/>
          <w:b/>
          <w:bCs/>
          <w:sz w:val="24"/>
          <w:szCs w:val="24"/>
        </w:rPr>
      </w:pPr>
      <w:bookmarkStart w:id="105" w:name="_Toc225723049"/>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45</w:t>
      </w:r>
      <w:r>
        <w:rPr>
          <w:rFonts w:asciiTheme="minorBidi" w:hAnsiTheme="minorBidi"/>
          <w:b/>
          <w:bCs/>
          <w:sz w:val="24"/>
          <w:szCs w:val="24"/>
        </w:rPr>
        <w:fldChar w:fldCharType="end"/>
      </w:r>
      <w:r>
        <w:rPr>
          <w:rFonts w:asciiTheme="minorBidi" w:hAnsiTheme="minorBidi"/>
          <w:sz w:val="24"/>
          <w:szCs w:val="24"/>
        </w:rPr>
        <w:t xml:space="preserve"> : Figure des moyennes de la fréquence cardiaque</w:t>
      </w:r>
      <w:bookmarkEnd w:id="105"/>
    </w:p>
    <w:p w14:paraId="7F968A33" w14:textId="176C23CD"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4</w:t>
      </w:r>
      <w:r w:rsidR="003462B7">
        <w:rPr>
          <w:rFonts w:asciiTheme="minorBidi" w:hAnsiTheme="minorBidi"/>
          <w:b/>
          <w:bCs/>
          <w:sz w:val="24"/>
          <w:szCs w:val="24"/>
        </w:rPr>
        <w:t>5</w:t>
      </w:r>
      <w:r>
        <w:rPr>
          <w:rFonts w:asciiTheme="minorBidi" w:hAnsiTheme="minorBidi"/>
          <w:sz w:val="24"/>
          <w:szCs w:val="24"/>
        </w:rPr>
        <w:t>) sont exprimées sous forme de moyennes ± écart-type. Le nombre d’étoiles indique le niveau de différence significative entre les deux populations (p &lt; 0,05), déterminé à l’aide du test non paramétrique de Mann–Whitney.</w:t>
      </w:r>
    </w:p>
    <w:p w14:paraId="4D40B32C"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L’analyse statistique de la fréquence cardiaque montre une différence significative entre les deux groupes. En effet, les patients du service de réanimation présentent une fréquence cardiaque plus élevée (117,1 ± 7,335 battements/min) comparativement à ceux du service de médecine interne (90,71 ± 4,083 battements/min), ces derniers se situant dans l’intervalle physiologique (60–100 battements/min).</w:t>
      </w:r>
    </w:p>
    <w:p w14:paraId="46268782"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lastRenderedPageBreak/>
        <w:t>Cette tachycardie observée chez les patients en réanimation peut s’expliquer par un état de déshydratation sévère, une hypovolémie ainsi qu’un stress physiologique accru, et qui traduit un mécanisme compensatoire visant à maintenir la perfusion tissulaire.</w:t>
      </w:r>
    </w:p>
    <w:p w14:paraId="4F296EFA"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106" w:name="_Toc226577359"/>
      <w:r>
        <w:rPr>
          <w:rFonts w:asciiTheme="minorBidi" w:hAnsiTheme="minorBidi" w:cstheme="minorBidi"/>
          <w:b/>
          <w:bCs/>
          <w:color w:val="0D0D0D" w:themeColor="text1" w:themeTint="F2"/>
          <w:sz w:val="24"/>
          <w:szCs w:val="24"/>
        </w:rPr>
        <w:t>Fréquence respiratoire :</w:t>
      </w:r>
      <w:bookmarkEnd w:id="106"/>
    </w:p>
    <w:p w14:paraId="0393441E" w14:textId="77777777" w:rsidR="00502BB2" w:rsidRDefault="0069123E">
      <w:pPr>
        <w:pStyle w:val="ListParagraph"/>
        <w:keepNext/>
        <w:spacing w:line="360" w:lineRule="auto"/>
        <w:ind w:right="625"/>
        <w:jc w:val="center"/>
      </w:pPr>
      <w:r>
        <w:rPr>
          <w:rFonts w:asciiTheme="minorBidi" w:hAnsiTheme="minorBidi"/>
          <w:sz w:val="24"/>
          <w:szCs w:val="24"/>
        </w:rPr>
        <w:object w:dxaOrig="7691" w:dyaOrig="6092" w14:anchorId="5177BEFA">
          <v:shape id="_x0000_i1042" type="#_x0000_t75" style="width:385.7pt;height:305.15pt" o:ole="">
            <v:imagedata r:id="rId131" o:title=""/>
          </v:shape>
          <o:OLEObject Type="Embed" ProgID="Prism10.Document" ShapeID="_x0000_i1042" DrawAspect="Content" ObjectID="_1842872877" r:id="rId132"/>
        </w:object>
      </w:r>
    </w:p>
    <w:p w14:paraId="43A8D777" w14:textId="06EFC325" w:rsidR="00502BB2" w:rsidRDefault="0069123E">
      <w:pPr>
        <w:pStyle w:val="Caption"/>
        <w:jc w:val="center"/>
        <w:rPr>
          <w:rFonts w:asciiTheme="minorBidi" w:hAnsiTheme="minorBidi"/>
          <w:sz w:val="24"/>
          <w:szCs w:val="24"/>
        </w:rPr>
      </w:pPr>
      <w:bookmarkStart w:id="107" w:name="_Toc225723050"/>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46</w:t>
      </w:r>
      <w:r>
        <w:rPr>
          <w:rFonts w:asciiTheme="minorBidi" w:hAnsiTheme="minorBidi"/>
          <w:b/>
          <w:bCs/>
          <w:sz w:val="24"/>
          <w:szCs w:val="24"/>
        </w:rPr>
        <w:fldChar w:fldCharType="end"/>
      </w:r>
      <w:r>
        <w:rPr>
          <w:rFonts w:asciiTheme="minorBidi" w:hAnsiTheme="minorBidi"/>
          <w:sz w:val="24"/>
          <w:szCs w:val="24"/>
        </w:rPr>
        <w:t xml:space="preserve"> : Figure des moyennes de la fréquence respiratoire</w:t>
      </w:r>
      <w:bookmarkEnd w:id="107"/>
    </w:p>
    <w:p w14:paraId="3F5EBC48" w14:textId="429795F3"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 xml:space="preserve">Les valeurs présentées </w:t>
      </w:r>
      <w:r>
        <w:rPr>
          <w:rFonts w:asciiTheme="minorBidi" w:hAnsiTheme="minorBidi"/>
          <w:b/>
          <w:bCs/>
          <w:sz w:val="24"/>
          <w:szCs w:val="24"/>
        </w:rPr>
        <w:t>(figure 4</w:t>
      </w:r>
      <w:r w:rsidR="003462B7">
        <w:rPr>
          <w:rFonts w:asciiTheme="minorBidi" w:hAnsiTheme="minorBidi"/>
          <w:b/>
          <w:bCs/>
          <w:sz w:val="24"/>
          <w:szCs w:val="24"/>
        </w:rPr>
        <w:t>6</w:t>
      </w:r>
      <w:r>
        <w:rPr>
          <w:rFonts w:asciiTheme="minorBidi" w:hAnsiTheme="minorBidi"/>
          <w:b/>
          <w:bCs/>
          <w:sz w:val="24"/>
          <w:szCs w:val="24"/>
        </w:rPr>
        <w:t>)</w:t>
      </w:r>
      <w:r>
        <w:rPr>
          <w:rFonts w:asciiTheme="minorBidi" w:hAnsiTheme="minorBidi"/>
          <w:sz w:val="24"/>
          <w:szCs w:val="24"/>
        </w:rPr>
        <w:t xml:space="preserve"> sont exprimées sous forme de moyennes ± écart-type. Le nombre d’étoiles indique le niveau de différence significative entre les deux populations (p &lt; 0,05), déterminé à l’aide du test non paramétrique de Mann–Whitney.</w:t>
      </w:r>
    </w:p>
    <w:p w14:paraId="3069FE02" w14:textId="77777777"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 xml:space="preserve">L’analyse statistique de la fréquence respiratoire montre une différence significative entre les deux groupes. En effet, les patients du service de réanimation présentent une fréquence respiratoire plus élevée (35 ± 6,170 cycles/min) comparativement à ceux du service de médecine interne (17,93 ± 0,93 cycles/min). </w:t>
      </w:r>
      <w:r>
        <w:rPr>
          <w:rFonts w:asciiTheme="minorBidi" w:hAnsiTheme="minorBidi"/>
          <w:sz w:val="24"/>
          <w:szCs w:val="24"/>
        </w:rPr>
        <w:lastRenderedPageBreak/>
        <w:t>Les valeurs observées en réanimation dépassent largement l’intervalle physiologique (12–20 cycles/min).</w:t>
      </w:r>
    </w:p>
    <w:p w14:paraId="6D42631F"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Cette polypnée s’explique par une hyperventilation en réponse à un état d’acidose métabolique, correspondant à une respiration de Kussmaul, mécanisme compensatoire visant à éliminer le CO</w:t>
      </w:r>
      <w:r>
        <w:rPr>
          <w:rFonts w:ascii="Cambria Math" w:hAnsi="Cambria Math" w:cs="Cambria Math"/>
          <w:sz w:val="24"/>
          <w:szCs w:val="24"/>
        </w:rPr>
        <w:t>₂</w:t>
      </w:r>
      <w:r>
        <w:rPr>
          <w:rFonts w:asciiTheme="minorBidi" w:hAnsiTheme="minorBidi"/>
          <w:sz w:val="24"/>
          <w:szCs w:val="24"/>
        </w:rPr>
        <w:t xml:space="preserve"> et </w:t>
      </w:r>
      <w:r>
        <w:rPr>
          <w:rFonts w:ascii="Arial" w:hAnsi="Arial" w:cs="Arial"/>
          <w:sz w:val="24"/>
          <w:szCs w:val="24"/>
        </w:rPr>
        <w:t>à</w:t>
      </w:r>
      <w:r>
        <w:rPr>
          <w:rFonts w:asciiTheme="minorBidi" w:hAnsiTheme="minorBidi"/>
          <w:sz w:val="24"/>
          <w:szCs w:val="24"/>
        </w:rPr>
        <w:t xml:space="preserve"> r</w:t>
      </w:r>
      <w:r>
        <w:rPr>
          <w:rFonts w:ascii="Arial" w:hAnsi="Arial" w:cs="Arial"/>
          <w:sz w:val="24"/>
          <w:szCs w:val="24"/>
        </w:rPr>
        <w:t>é</w:t>
      </w:r>
      <w:r>
        <w:rPr>
          <w:rFonts w:asciiTheme="minorBidi" w:hAnsiTheme="minorBidi"/>
          <w:sz w:val="24"/>
          <w:szCs w:val="24"/>
        </w:rPr>
        <w:t>tablir l</w:t>
      </w:r>
      <w:r>
        <w:rPr>
          <w:rFonts w:ascii="Arial" w:hAnsi="Arial" w:cs="Arial"/>
          <w:sz w:val="24"/>
          <w:szCs w:val="24"/>
        </w:rPr>
        <w:t>’é</w:t>
      </w:r>
      <w:r>
        <w:rPr>
          <w:rFonts w:asciiTheme="minorBidi" w:hAnsiTheme="minorBidi"/>
          <w:sz w:val="24"/>
          <w:szCs w:val="24"/>
        </w:rPr>
        <w:t>quilibre acido-basique.</w:t>
      </w:r>
    </w:p>
    <w:p w14:paraId="26E198A5"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108" w:name="_Toc226577360"/>
      <w:r>
        <w:rPr>
          <w:rFonts w:asciiTheme="minorBidi" w:hAnsiTheme="minorBidi" w:cstheme="minorBidi"/>
          <w:b/>
          <w:bCs/>
          <w:color w:val="0D0D0D" w:themeColor="text1" w:themeTint="F2"/>
          <w:sz w:val="24"/>
          <w:szCs w:val="24"/>
        </w:rPr>
        <w:t>Paramètres sanguins :</w:t>
      </w:r>
      <w:bookmarkEnd w:id="108"/>
    </w:p>
    <w:p w14:paraId="37A9B980" w14:textId="77777777" w:rsidR="00502BB2" w:rsidRDefault="0069123E">
      <w:pPr>
        <w:pStyle w:val="Heading4"/>
        <w:numPr>
          <w:ilvl w:val="0"/>
          <w:numId w:val="15"/>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FNS :</w:t>
      </w:r>
    </w:p>
    <w:p w14:paraId="053E28E3" w14:textId="77777777" w:rsidR="00502BB2" w:rsidRDefault="00502BB2">
      <w:pPr>
        <w:pStyle w:val="ListParagraph"/>
        <w:spacing w:line="360" w:lineRule="auto"/>
        <w:ind w:left="1080" w:right="625"/>
        <w:rPr>
          <w:rFonts w:asciiTheme="minorBidi" w:hAnsiTheme="minorBidi"/>
          <w:b/>
          <w:bCs/>
          <w:sz w:val="24"/>
          <w:szCs w:val="24"/>
        </w:rPr>
      </w:pPr>
    </w:p>
    <w:p w14:paraId="3CB34795" w14:textId="77777777" w:rsidR="00502BB2" w:rsidRDefault="0069123E">
      <w:pPr>
        <w:keepNext/>
        <w:spacing w:line="360" w:lineRule="auto"/>
        <w:ind w:left="360" w:right="625"/>
        <w:jc w:val="center"/>
      </w:pPr>
      <w:r>
        <w:rPr>
          <w:rFonts w:asciiTheme="minorBidi" w:hAnsiTheme="minorBidi"/>
          <w:sz w:val="24"/>
          <w:szCs w:val="24"/>
        </w:rPr>
        <w:object w:dxaOrig="8640" w:dyaOrig="5269" w14:anchorId="79E659F4">
          <v:shape id="_x0000_i1043" type="#_x0000_t75" style="width:6in;height:263.15pt" o:ole="">
            <v:imagedata r:id="rId133" o:title=""/>
          </v:shape>
          <o:OLEObject Type="Embed" ProgID="Prism10.Document" ShapeID="_x0000_i1043" DrawAspect="Content" ObjectID="_1842872878" r:id="rId134"/>
        </w:object>
      </w:r>
    </w:p>
    <w:p w14:paraId="44CE0508" w14:textId="0FEDC218" w:rsidR="00502BB2" w:rsidRDefault="0069123E">
      <w:pPr>
        <w:pStyle w:val="Caption"/>
        <w:jc w:val="center"/>
        <w:rPr>
          <w:rFonts w:asciiTheme="minorBidi" w:hAnsiTheme="minorBidi"/>
          <w:sz w:val="24"/>
          <w:szCs w:val="24"/>
        </w:rPr>
      </w:pPr>
      <w:bookmarkStart w:id="109" w:name="_Toc225723051"/>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47</w:t>
      </w:r>
      <w:r>
        <w:rPr>
          <w:rFonts w:asciiTheme="minorBidi" w:hAnsiTheme="minorBidi"/>
          <w:b/>
          <w:bCs/>
          <w:sz w:val="24"/>
          <w:szCs w:val="24"/>
        </w:rPr>
        <w:fldChar w:fldCharType="end"/>
      </w:r>
      <w:r>
        <w:rPr>
          <w:rFonts w:asciiTheme="minorBidi" w:hAnsiTheme="minorBidi"/>
          <w:sz w:val="24"/>
          <w:szCs w:val="24"/>
        </w:rPr>
        <w:t xml:space="preserve"> : Figure des moyennes de éléments sanguins</w:t>
      </w:r>
      <w:bookmarkEnd w:id="109"/>
    </w:p>
    <w:p w14:paraId="2EA3DEF2" w14:textId="2902C259"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4</w:t>
      </w:r>
      <w:r w:rsidR="003462B7">
        <w:rPr>
          <w:rFonts w:asciiTheme="minorBidi" w:hAnsiTheme="minorBidi"/>
          <w:b/>
          <w:bCs/>
          <w:sz w:val="24"/>
          <w:szCs w:val="24"/>
        </w:rPr>
        <w:t>7</w:t>
      </w:r>
      <w:r>
        <w:rPr>
          <w:rFonts w:asciiTheme="minorBidi" w:hAnsiTheme="minorBidi"/>
          <w:sz w:val="24"/>
          <w:szCs w:val="24"/>
        </w:rPr>
        <w:t xml:space="preserve">) sont exprimées sous forme de moyennes ± écart-type. Le nombre d’étoiles indique le niveau de différence significative entre les deux populations (p &lt; 0,05), déterminé à l’aide du test non paramétrique de Mann–Whitney. La mention </w:t>
      </w:r>
      <w:r>
        <w:rPr>
          <w:rFonts w:asciiTheme="minorBidi" w:hAnsiTheme="minorBidi"/>
          <w:i/>
          <w:iCs/>
          <w:sz w:val="24"/>
          <w:szCs w:val="24"/>
        </w:rPr>
        <w:t>ns</w:t>
      </w:r>
      <w:r>
        <w:rPr>
          <w:rFonts w:asciiTheme="minorBidi" w:hAnsiTheme="minorBidi"/>
          <w:sz w:val="24"/>
          <w:szCs w:val="24"/>
        </w:rPr>
        <w:t xml:space="preserve"> indique l’absence de différence significative (p &gt; 0,05), déterminée à l’aide des tests de Mann–Whitney ou du test t de Student.</w:t>
      </w:r>
    </w:p>
    <w:p w14:paraId="4EFEC3F8" w14:textId="77777777" w:rsidR="003462B7" w:rsidRDefault="003462B7">
      <w:pPr>
        <w:spacing w:line="360" w:lineRule="auto"/>
        <w:ind w:right="625" w:firstLine="360"/>
        <w:jc w:val="both"/>
        <w:rPr>
          <w:rFonts w:asciiTheme="minorBidi" w:hAnsiTheme="minorBidi"/>
          <w:sz w:val="24"/>
          <w:szCs w:val="24"/>
        </w:rPr>
      </w:pPr>
    </w:p>
    <w:p w14:paraId="02DA0858" w14:textId="77777777" w:rsidR="003462B7" w:rsidRDefault="003462B7">
      <w:pPr>
        <w:spacing w:line="360" w:lineRule="auto"/>
        <w:ind w:right="625" w:firstLine="360"/>
        <w:jc w:val="both"/>
        <w:rPr>
          <w:rFonts w:asciiTheme="minorBidi" w:hAnsiTheme="minorBidi"/>
          <w:sz w:val="24"/>
          <w:szCs w:val="24"/>
        </w:rPr>
      </w:pPr>
    </w:p>
    <w:p w14:paraId="5FACB7FD" w14:textId="77777777" w:rsidR="00502BB2" w:rsidRDefault="0069123E">
      <w:pPr>
        <w:pStyle w:val="ListParagraph"/>
        <w:numPr>
          <w:ilvl w:val="0"/>
          <w:numId w:val="16"/>
        </w:numPr>
        <w:spacing w:line="360" w:lineRule="auto"/>
        <w:ind w:right="625"/>
        <w:rPr>
          <w:rFonts w:asciiTheme="minorBidi" w:hAnsiTheme="minorBidi"/>
          <w:sz w:val="24"/>
          <w:szCs w:val="24"/>
        </w:rPr>
      </w:pPr>
      <w:r>
        <w:rPr>
          <w:rFonts w:asciiTheme="minorBidi" w:hAnsiTheme="minorBidi"/>
          <w:b/>
          <w:bCs/>
          <w:sz w:val="24"/>
          <w:szCs w:val="24"/>
        </w:rPr>
        <w:lastRenderedPageBreak/>
        <w:t xml:space="preserve"> Globules blancs</w:t>
      </w:r>
    </w:p>
    <w:p w14:paraId="001B4918"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L’analyse statistique des globules blancs montre une différence significative entre les deux groupes. Toutefois, les patients du service de réanimation présentent des valeurs plus faibles (25,114 ± 4,2 ×10³/mm³) comparativement à ceux du service de médecine interne (46,19 ± 6,19 ×10³/mm³). Les deux groupes présentent des valeurs largement supérieures aux normes physiologiques (4,5–10,5 ×10³/mm³).</w:t>
      </w:r>
    </w:p>
    <w:p w14:paraId="31CFCB93"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Cette hyperleucocytose peut s’expliquer par la présence d’un état inflammatoire ou d’une éventuelle infection.</w:t>
      </w:r>
    </w:p>
    <w:p w14:paraId="0BC1A68A" w14:textId="77777777" w:rsidR="00502BB2" w:rsidRDefault="0069123E">
      <w:pPr>
        <w:pStyle w:val="ListParagraph"/>
        <w:numPr>
          <w:ilvl w:val="0"/>
          <w:numId w:val="17"/>
        </w:numPr>
        <w:spacing w:line="360" w:lineRule="auto"/>
        <w:ind w:right="625"/>
        <w:rPr>
          <w:rFonts w:asciiTheme="minorBidi" w:hAnsiTheme="minorBidi"/>
          <w:sz w:val="24"/>
          <w:szCs w:val="24"/>
        </w:rPr>
      </w:pPr>
      <w:r>
        <w:rPr>
          <w:rFonts w:asciiTheme="minorBidi" w:hAnsiTheme="minorBidi"/>
          <w:b/>
          <w:bCs/>
          <w:sz w:val="24"/>
          <w:szCs w:val="24"/>
        </w:rPr>
        <w:t xml:space="preserve"> Plaquettes</w:t>
      </w:r>
    </w:p>
    <w:p w14:paraId="1F1EBFB8"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L’analyse statistique des plaquettes ne montre pas de différence significative entre les deux groupes. Néanmoins, les patients du service de réanimation présentent des valeurs légèrement plus élevées (329,05 ± 25,7 ×10³/mm³) comparativement à ceux de médecine interne (295,9 ± 17,5 ×10³/mm³). Ces valeurs restent dans l’intervalle physiologique (150–450 ×10³/mm³).</w:t>
      </w:r>
    </w:p>
    <w:p w14:paraId="79ADC989" w14:textId="77777777" w:rsidR="00502BB2" w:rsidRDefault="0069123E">
      <w:pPr>
        <w:pStyle w:val="ListParagraph"/>
        <w:numPr>
          <w:ilvl w:val="0"/>
          <w:numId w:val="18"/>
        </w:numPr>
        <w:spacing w:line="360" w:lineRule="auto"/>
        <w:ind w:right="625"/>
        <w:rPr>
          <w:rFonts w:asciiTheme="minorBidi" w:hAnsiTheme="minorBidi"/>
          <w:sz w:val="24"/>
          <w:szCs w:val="24"/>
        </w:rPr>
      </w:pPr>
      <w:r>
        <w:rPr>
          <w:rFonts w:asciiTheme="minorBidi" w:hAnsiTheme="minorBidi"/>
          <w:b/>
          <w:bCs/>
          <w:sz w:val="24"/>
          <w:szCs w:val="24"/>
        </w:rPr>
        <w:t>Neutrophiles</w:t>
      </w:r>
    </w:p>
    <w:p w14:paraId="1B1988DA"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L’analyse statistique des neutrophiles ne montre pas de différence significative entre les deux groupes. Cependant, les valeurs observées en réanimation (38,97 ± 8,28 ×10³/mm³) sont supérieures à celles de médecine interne (33,8 ± 5,21 ×10³/mm³), et dépassent les normes physiologiques (1,4–5,5 ×10³/mm³).</w:t>
      </w:r>
    </w:p>
    <w:p w14:paraId="3DA3E53E"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Cette augmentation peut également s’expliquer par la présence d’un état inflammatoire ou d’une infection associée.</w:t>
      </w:r>
    </w:p>
    <w:p w14:paraId="539E5164"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Ces anomalies hématologiques confirment la présence d’un état inflammatoire systémique, pouvant constituer un facteur déclenchant ou aggravant de l’acidocétose diabétique.</w:t>
      </w:r>
    </w:p>
    <w:p w14:paraId="7BA5494F" w14:textId="77777777" w:rsidR="00502BB2" w:rsidRDefault="00502BB2">
      <w:pPr>
        <w:spacing w:line="360" w:lineRule="auto"/>
        <w:ind w:right="625"/>
        <w:rPr>
          <w:rFonts w:asciiTheme="minorBidi" w:hAnsiTheme="minorBidi"/>
          <w:b/>
          <w:bCs/>
          <w:sz w:val="24"/>
          <w:szCs w:val="24"/>
        </w:rPr>
      </w:pPr>
    </w:p>
    <w:p w14:paraId="0EFA4FB1" w14:textId="77777777" w:rsidR="00502BB2" w:rsidRDefault="0069123E">
      <w:pPr>
        <w:keepNext/>
        <w:spacing w:line="360" w:lineRule="auto"/>
        <w:ind w:right="625"/>
        <w:jc w:val="center"/>
      </w:pPr>
      <w:r>
        <w:rPr>
          <w:rFonts w:asciiTheme="minorBidi" w:hAnsiTheme="minorBidi"/>
          <w:sz w:val="24"/>
          <w:szCs w:val="24"/>
        </w:rPr>
        <w:object w:dxaOrig="7865" w:dyaOrig="5032" w14:anchorId="1515DD61">
          <v:shape id="_x0000_i1044" type="#_x0000_t75" style="width:392.55pt;height:252pt" o:ole="">
            <v:imagedata r:id="rId135" o:title=""/>
          </v:shape>
          <o:OLEObject Type="Embed" ProgID="Prism10.Document" ShapeID="_x0000_i1044" DrawAspect="Content" ObjectID="_1842872879" r:id="rId136"/>
        </w:object>
      </w:r>
    </w:p>
    <w:p w14:paraId="33CFF3AC" w14:textId="69F5260D" w:rsidR="00502BB2" w:rsidRDefault="0069123E">
      <w:pPr>
        <w:pStyle w:val="Caption"/>
        <w:jc w:val="center"/>
        <w:rPr>
          <w:rFonts w:asciiTheme="minorBidi" w:hAnsiTheme="minorBidi"/>
          <w:sz w:val="24"/>
          <w:szCs w:val="24"/>
        </w:rPr>
      </w:pPr>
      <w:bookmarkStart w:id="110" w:name="_Toc225723052"/>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48</w:t>
      </w:r>
      <w:r>
        <w:rPr>
          <w:rFonts w:asciiTheme="minorBidi" w:hAnsiTheme="minorBidi"/>
          <w:b/>
          <w:bCs/>
          <w:sz w:val="24"/>
          <w:szCs w:val="24"/>
        </w:rPr>
        <w:fldChar w:fldCharType="end"/>
      </w:r>
      <w:r>
        <w:rPr>
          <w:rFonts w:asciiTheme="minorBidi" w:hAnsiTheme="minorBidi"/>
          <w:sz w:val="24"/>
          <w:szCs w:val="24"/>
        </w:rPr>
        <w:t xml:space="preserve"> : Figure des moyennes de éléments sanguins</w:t>
      </w:r>
      <w:bookmarkEnd w:id="110"/>
    </w:p>
    <w:p w14:paraId="4BC3D411" w14:textId="77AEAD54"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4</w:t>
      </w:r>
      <w:r w:rsidR="003462B7">
        <w:rPr>
          <w:rFonts w:asciiTheme="minorBidi" w:hAnsiTheme="minorBidi"/>
          <w:b/>
          <w:bCs/>
          <w:sz w:val="24"/>
          <w:szCs w:val="24"/>
        </w:rPr>
        <w:t>8</w:t>
      </w:r>
      <w:r>
        <w:rPr>
          <w:rFonts w:asciiTheme="minorBidi" w:hAnsiTheme="minorBidi"/>
          <w:sz w:val="24"/>
          <w:szCs w:val="24"/>
        </w:rPr>
        <w:t xml:space="preserve">) sont exprimées sous forme de moyennes ± écart-type. Le nombre d’étoiles indique le niveau de différence significative entre les deux populations (p &lt; 0,05), déterminé à l’aide du test non paramétrique de Mann–Whitney. La mention </w:t>
      </w:r>
      <w:r>
        <w:rPr>
          <w:rFonts w:asciiTheme="minorBidi" w:hAnsiTheme="minorBidi"/>
          <w:i/>
          <w:iCs/>
          <w:sz w:val="24"/>
          <w:szCs w:val="24"/>
        </w:rPr>
        <w:t>ns</w:t>
      </w:r>
      <w:r>
        <w:rPr>
          <w:rFonts w:asciiTheme="minorBidi" w:hAnsiTheme="minorBidi"/>
          <w:sz w:val="24"/>
          <w:szCs w:val="24"/>
        </w:rPr>
        <w:t xml:space="preserve"> indique l’absence de différence significative (p &gt; 0,05), également déterminée par ce test.</w:t>
      </w:r>
    </w:p>
    <w:p w14:paraId="32AB6E10" w14:textId="77777777" w:rsidR="00502BB2" w:rsidRDefault="0069123E">
      <w:pPr>
        <w:pStyle w:val="ListParagraph"/>
        <w:numPr>
          <w:ilvl w:val="0"/>
          <w:numId w:val="19"/>
        </w:numPr>
        <w:spacing w:line="360" w:lineRule="auto"/>
        <w:ind w:right="625"/>
        <w:rPr>
          <w:rFonts w:asciiTheme="minorBidi" w:hAnsiTheme="minorBidi"/>
          <w:sz w:val="24"/>
          <w:szCs w:val="24"/>
        </w:rPr>
      </w:pPr>
      <w:r>
        <w:rPr>
          <w:rFonts w:asciiTheme="minorBidi" w:hAnsiTheme="minorBidi"/>
          <w:b/>
          <w:bCs/>
          <w:sz w:val="24"/>
          <w:szCs w:val="24"/>
        </w:rPr>
        <w:t xml:space="preserve"> Lymphocytes</w:t>
      </w:r>
    </w:p>
    <w:p w14:paraId="75AA2623"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L’analyse statistique des lymphocytes montre une différence significative entre les deux groupes. Toutefois, les patients du service de réanimation présentent des valeurs légèrement inférieures (2,54 ± 1,5 ×10³/mm³) comparativement à ceux du service de médecine interne (2,88 ± 0,52 ×10³/mm³). Les valeurs observées dans les deux groupes restent dans l’intervalle physiologique (1–4 ×10³/mm³).</w:t>
      </w:r>
    </w:p>
    <w:p w14:paraId="1B86141D" w14:textId="77777777" w:rsidR="00502BB2" w:rsidRDefault="0069123E">
      <w:pPr>
        <w:pStyle w:val="ListParagraph"/>
        <w:numPr>
          <w:ilvl w:val="0"/>
          <w:numId w:val="20"/>
        </w:numPr>
        <w:spacing w:line="360" w:lineRule="auto"/>
        <w:ind w:right="625"/>
        <w:rPr>
          <w:rFonts w:asciiTheme="minorBidi" w:hAnsiTheme="minorBidi"/>
          <w:sz w:val="24"/>
          <w:szCs w:val="24"/>
        </w:rPr>
      </w:pPr>
      <w:r>
        <w:rPr>
          <w:rFonts w:asciiTheme="minorBidi" w:hAnsiTheme="minorBidi"/>
          <w:b/>
          <w:bCs/>
          <w:sz w:val="24"/>
          <w:szCs w:val="24"/>
        </w:rPr>
        <w:t xml:space="preserve"> Monocytes</w:t>
      </w:r>
    </w:p>
    <w:p w14:paraId="01BE58B5"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 xml:space="preserve">L’analyse statistique des monocytes ne montre pas de différence significative entre les deux groupes. Cependant, les patients du service de réanimation présentent des valeurs légèrement plus élevées (0,73 ± 0,16 ×10³/mm³) </w:t>
      </w:r>
      <w:r>
        <w:rPr>
          <w:rFonts w:asciiTheme="minorBidi" w:hAnsiTheme="minorBidi"/>
          <w:sz w:val="24"/>
          <w:szCs w:val="24"/>
        </w:rPr>
        <w:lastRenderedPageBreak/>
        <w:t>comparativement à ceux de médecine interne (0,58 ± 0,1 ×10³/mm³). Ces valeurs se situent globalement autour de l’intervalle physiologique (0,1–0,6 ×10³/mm³).</w:t>
      </w:r>
    </w:p>
    <w:p w14:paraId="7E5DC5C2"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Cette tendance peut s’expliquer par la présence d’un état inflammatoire ou d’une infection chronique, voire d’une pathologie auto-immune.</w:t>
      </w:r>
    </w:p>
    <w:p w14:paraId="6E78918C" w14:textId="77777777" w:rsidR="00502BB2" w:rsidRDefault="0069123E">
      <w:pPr>
        <w:pStyle w:val="ListParagraph"/>
        <w:numPr>
          <w:ilvl w:val="0"/>
          <w:numId w:val="21"/>
        </w:numPr>
        <w:spacing w:line="360" w:lineRule="auto"/>
        <w:ind w:right="625"/>
        <w:rPr>
          <w:rFonts w:asciiTheme="minorBidi" w:hAnsiTheme="minorBidi"/>
          <w:sz w:val="24"/>
          <w:szCs w:val="24"/>
        </w:rPr>
      </w:pPr>
      <w:r>
        <w:rPr>
          <w:rFonts w:asciiTheme="minorBidi" w:hAnsiTheme="minorBidi"/>
          <w:b/>
          <w:bCs/>
          <w:sz w:val="24"/>
          <w:szCs w:val="24"/>
        </w:rPr>
        <w:t xml:space="preserve"> Éosinophiles</w:t>
      </w:r>
    </w:p>
    <w:p w14:paraId="2274922F"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L’analyse statistique des éosinophiles ne montre pas de différence significative entre les deux groupes. Les valeurs observées sont légèrement plus élevées en réanimation (0,077 ± 0,04 ×10³/mm³) qu’en médecine interne (0,059 ± 0,02 ×10³/mm³), tout en restant dans l’intervalle physiologique (0–0,8 ×10³/mm³).</w:t>
      </w:r>
    </w:p>
    <w:p w14:paraId="6D18E552" w14:textId="77777777" w:rsidR="00502BB2" w:rsidRDefault="0069123E">
      <w:pPr>
        <w:pStyle w:val="ListParagraph"/>
        <w:numPr>
          <w:ilvl w:val="0"/>
          <w:numId w:val="22"/>
        </w:numPr>
        <w:spacing w:line="360" w:lineRule="auto"/>
        <w:ind w:right="625"/>
        <w:rPr>
          <w:rFonts w:asciiTheme="minorBidi" w:hAnsiTheme="minorBidi"/>
          <w:sz w:val="24"/>
          <w:szCs w:val="24"/>
        </w:rPr>
      </w:pPr>
      <w:r>
        <w:rPr>
          <w:rFonts w:asciiTheme="minorBidi" w:hAnsiTheme="minorBidi"/>
          <w:b/>
          <w:bCs/>
          <w:sz w:val="24"/>
          <w:szCs w:val="24"/>
        </w:rPr>
        <w:t xml:space="preserve"> Basophiles</w:t>
      </w:r>
    </w:p>
    <w:p w14:paraId="6F22693B"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L’analyse statistique des basophiles ne montre pas de différence significative entre les deux groupes. Toutefois, les patients du service de réanimation présentent des valeurs plus faibles (0,089 ± 0,03 ×10³/mm³) comparativement à ceux de médecine interne (0,16 ± 0,05 ×10³/mm³). Ces dernières sont légèrement supérieures aux normes physiologiques (0–0,1 ×10³/mm³).</w:t>
      </w:r>
    </w:p>
    <w:p w14:paraId="162BF2C0"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Cette élévation relative peut s’expliquer par une réaction inflammatoire, allergique ou par certaines conditions comme l’hypothyroïdie.</w:t>
      </w:r>
    </w:p>
    <w:p w14:paraId="2F0C5C09"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L’ensemble de ces variations des sous-populations leucocytaires traduit un état inflammatoire systémique, pouvant intervenir dans la décompensation métabolique observée chez les patients</w:t>
      </w:r>
    </w:p>
    <w:p w14:paraId="08338629" w14:textId="77777777" w:rsidR="00502BB2" w:rsidRDefault="0069123E">
      <w:pPr>
        <w:pStyle w:val="ListParagraph"/>
        <w:keepNext/>
        <w:spacing w:line="360" w:lineRule="auto"/>
        <w:ind w:right="625"/>
        <w:jc w:val="center"/>
      </w:pPr>
      <w:r>
        <w:rPr>
          <w:rFonts w:asciiTheme="minorBidi" w:hAnsiTheme="minorBidi"/>
          <w:sz w:val="24"/>
          <w:szCs w:val="24"/>
        </w:rPr>
        <w:object w:dxaOrig="7659" w:dyaOrig="5871" w14:anchorId="02DA8FE9">
          <v:shape id="_x0000_i1045" type="#_x0000_t75" style="width:383.15pt;height:294pt" o:ole="">
            <v:imagedata r:id="rId137" o:title=""/>
          </v:shape>
          <o:OLEObject Type="Embed" ProgID="Prism10.Document" ShapeID="_x0000_i1045" DrawAspect="Content" ObjectID="_1842872880" r:id="rId138"/>
        </w:object>
      </w:r>
    </w:p>
    <w:p w14:paraId="3BAE91E9" w14:textId="74F4684D" w:rsidR="00502BB2" w:rsidRDefault="0069123E">
      <w:pPr>
        <w:pStyle w:val="Caption"/>
        <w:jc w:val="center"/>
        <w:rPr>
          <w:rFonts w:asciiTheme="minorBidi" w:hAnsiTheme="minorBidi"/>
          <w:sz w:val="24"/>
          <w:szCs w:val="24"/>
        </w:rPr>
      </w:pPr>
      <w:bookmarkStart w:id="111" w:name="_Toc225723053"/>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49</w:t>
      </w:r>
      <w:r>
        <w:rPr>
          <w:rFonts w:asciiTheme="minorBidi" w:hAnsiTheme="minorBidi"/>
          <w:b/>
          <w:bCs/>
          <w:sz w:val="24"/>
          <w:szCs w:val="24"/>
        </w:rPr>
        <w:fldChar w:fldCharType="end"/>
      </w:r>
      <w:r>
        <w:rPr>
          <w:rFonts w:asciiTheme="minorBidi" w:hAnsiTheme="minorBidi"/>
          <w:sz w:val="24"/>
          <w:szCs w:val="24"/>
        </w:rPr>
        <w:t xml:space="preserve"> : Figure des moyennes des globules rouges</w:t>
      </w:r>
      <w:bookmarkEnd w:id="111"/>
    </w:p>
    <w:p w14:paraId="33206845" w14:textId="77777777" w:rsidR="00502BB2" w:rsidRDefault="0069123E">
      <w:pPr>
        <w:pStyle w:val="ListParagraph"/>
        <w:numPr>
          <w:ilvl w:val="0"/>
          <w:numId w:val="22"/>
        </w:numPr>
        <w:spacing w:line="360" w:lineRule="auto"/>
        <w:ind w:right="625"/>
        <w:rPr>
          <w:rFonts w:asciiTheme="minorBidi" w:hAnsiTheme="minorBidi"/>
          <w:b/>
          <w:bCs/>
          <w:sz w:val="24"/>
          <w:szCs w:val="24"/>
        </w:rPr>
      </w:pPr>
      <w:r>
        <w:rPr>
          <w:rFonts w:asciiTheme="minorBidi" w:hAnsiTheme="minorBidi"/>
          <w:b/>
          <w:bCs/>
          <w:sz w:val="24"/>
          <w:szCs w:val="24"/>
        </w:rPr>
        <w:t>Globules rouges :</w:t>
      </w:r>
      <w:r>
        <w:rPr>
          <w:rFonts w:asciiTheme="minorBidi" w:hAnsiTheme="minorBidi"/>
          <w:b/>
          <w:bCs/>
          <w:sz w:val="24"/>
          <w:szCs w:val="24"/>
        </w:rPr>
        <w:tab/>
      </w:r>
    </w:p>
    <w:p w14:paraId="7D4CE39F" w14:textId="3E16CFCA"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 xml:space="preserve">figure </w:t>
      </w:r>
      <w:r w:rsidR="003462B7">
        <w:rPr>
          <w:rFonts w:asciiTheme="minorBidi" w:hAnsiTheme="minorBidi"/>
          <w:b/>
          <w:bCs/>
          <w:sz w:val="24"/>
          <w:szCs w:val="24"/>
        </w:rPr>
        <w:t>49</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t de Student.</w:t>
      </w:r>
    </w:p>
    <w:p w14:paraId="09C552AF"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L’analyse statistique des globules rouges ne montre pas de différence significative entre les deux groupes. Toutefois, les patients du service de réanimation présentent des valeurs légèrement inférieures (4,62 ± 0,26 ×10⁶/mm³) comparativement à ceux du service de médecine interne (5,042 ± 0,22 ×10⁶/mm³). Les valeurs observées dans les deux groupes se situent dans l’intervalle physiologique (4–6 ×10⁶/mm³).</w:t>
      </w:r>
      <w:r>
        <w:rPr>
          <w:rFonts w:asciiTheme="minorBidi" w:hAnsiTheme="minorBidi"/>
          <w:b/>
          <w:bCs/>
          <w:sz w:val="24"/>
          <w:szCs w:val="24"/>
        </w:rPr>
        <w:t xml:space="preserve"> </w:t>
      </w:r>
    </w:p>
    <w:p w14:paraId="7201CA3B" w14:textId="77777777" w:rsidR="00502BB2" w:rsidRDefault="0069123E">
      <w:pPr>
        <w:keepNext/>
        <w:spacing w:line="360" w:lineRule="auto"/>
        <w:ind w:right="625"/>
        <w:jc w:val="center"/>
      </w:pPr>
      <w:r>
        <w:rPr>
          <w:rFonts w:asciiTheme="minorBidi" w:hAnsiTheme="minorBidi"/>
          <w:sz w:val="24"/>
          <w:szCs w:val="24"/>
        </w:rPr>
        <w:object w:dxaOrig="8593" w:dyaOrig="4352" w14:anchorId="15CF7D91">
          <v:shape id="_x0000_i1046" type="#_x0000_t75" style="width:430.3pt;height:217.7pt" o:ole="">
            <v:imagedata r:id="rId139" o:title=""/>
          </v:shape>
          <o:OLEObject Type="Embed" ProgID="Prism10.Document" ShapeID="_x0000_i1046" DrawAspect="Content" ObjectID="_1842872881" r:id="rId140"/>
        </w:object>
      </w:r>
    </w:p>
    <w:p w14:paraId="49B81E49" w14:textId="0DEA489D" w:rsidR="00502BB2" w:rsidRDefault="0069123E">
      <w:pPr>
        <w:pStyle w:val="Caption"/>
        <w:jc w:val="center"/>
        <w:rPr>
          <w:rFonts w:asciiTheme="minorBidi" w:hAnsiTheme="minorBidi"/>
          <w:sz w:val="24"/>
          <w:szCs w:val="24"/>
        </w:rPr>
      </w:pPr>
      <w:bookmarkStart w:id="112" w:name="_Toc225723054"/>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50</w:t>
      </w:r>
      <w:r>
        <w:rPr>
          <w:rFonts w:asciiTheme="minorBidi" w:hAnsiTheme="minorBidi"/>
          <w:b/>
          <w:bCs/>
          <w:sz w:val="24"/>
          <w:szCs w:val="24"/>
        </w:rPr>
        <w:fldChar w:fldCharType="end"/>
      </w:r>
      <w:r>
        <w:rPr>
          <w:rFonts w:asciiTheme="minorBidi" w:hAnsiTheme="minorBidi"/>
          <w:sz w:val="24"/>
          <w:szCs w:val="24"/>
        </w:rPr>
        <w:t xml:space="preserve"> : Figure des moyennes de CCMH et hémoglobine</w:t>
      </w:r>
      <w:bookmarkEnd w:id="112"/>
    </w:p>
    <w:p w14:paraId="376EC33E" w14:textId="6585C3DD" w:rsidR="00502BB2" w:rsidRDefault="0069123E">
      <w:pPr>
        <w:spacing w:line="360" w:lineRule="auto"/>
        <w:ind w:left="-1" w:right="625" w:firstLine="361"/>
        <w:jc w:val="both"/>
        <w:rPr>
          <w:rFonts w:asciiTheme="minorBidi" w:hAnsiTheme="minorBidi"/>
          <w:sz w:val="24"/>
          <w:szCs w:val="24"/>
        </w:rPr>
      </w:pPr>
      <w:r>
        <w:rPr>
          <w:rFonts w:asciiTheme="minorBidi" w:hAnsiTheme="minorBidi"/>
          <w:sz w:val="24"/>
          <w:szCs w:val="24"/>
        </w:rPr>
        <w:t>Les valeurs exprimées (</w:t>
      </w:r>
      <w:r>
        <w:rPr>
          <w:rFonts w:asciiTheme="minorBidi" w:hAnsiTheme="minorBidi"/>
          <w:b/>
          <w:sz w:val="24"/>
          <w:szCs w:val="24"/>
        </w:rPr>
        <w:t>figure 5</w:t>
      </w:r>
      <w:r w:rsidR="003462B7">
        <w:rPr>
          <w:rFonts w:asciiTheme="minorBidi" w:hAnsiTheme="minorBidi"/>
          <w:b/>
          <w:sz w:val="24"/>
          <w:szCs w:val="24"/>
        </w:rPr>
        <w:t>0</w:t>
      </w:r>
      <w:r>
        <w:rPr>
          <w:rFonts w:asciiTheme="minorBidi" w:hAnsiTheme="minorBidi"/>
          <w:sz w:val="24"/>
          <w:szCs w:val="24"/>
        </w:rPr>
        <w:t xml:space="preserve">) sont les moyennes ± écart-types.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t de Student.</w:t>
      </w:r>
    </w:p>
    <w:p w14:paraId="2F44EA81" w14:textId="77777777" w:rsidR="00502BB2" w:rsidRDefault="0069123E">
      <w:pPr>
        <w:pStyle w:val="ListParagraph"/>
        <w:numPr>
          <w:ilvl w:val="0"/>
          <w:numId w:val="22"/>
        </w:numPr>
        <w:spacing w:line="360" w:lineRule="auto"/>
        <w:ind w:right="625"/>
        <w:rPr>
          <w:rFonts w:asciiTheme="minorBidi" w:hAnsiTheme="minorBidi"/>
          <w:b/>
          <w:bCs/>
          <w:sz w:val="24"/>
          <w:szCs w:val="24"/>
        </w:rPr>
      </w:pPr>
      <w:r>
        <w:rPr>
          <w:rFonts w:asciiTheme="minorBidi" w:hAnsiTheme="minorBidi"/>
          <w:b/>
          <w:bCs/>
          <w:sz w:val="24"/>
          <w:szCs w:val="24"/>
        </w:rPr>
        <w:t>Concentration corpusculaire moyenne :</w:t>
      </w:r>
    </w:p>
    <w:p w14:paraId="01E52D8F"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L’analyse statistique de la concentration corpusculaire moyenne de l’hémoglobine entre les 2 groupes ne présentent aucune différence significative, cependant on remarque qu’au niveau du service de réanimation le CCMH est a 33.72±0.33 g/dl et celui du service de médecine interne a 33.7±0.29 g/dl Qui se trouvent dans les norme clinique pose a 32-37 g/dl.</w:t>
      </w:r>
    </w:p>
    <w:p w14:paraId="5011807E" w14:textId="77777777" w:rsidR="00502BB2" w:rsidRDefault="0069123E">
      <w:pPr>
        <w:pStyle w:val="ListParagraph"/>
        <w:numPr>
          <w:ilvl w:val="0"/>
          <w:numId w:val="23"/>
        </w:numPr>
        <w:spacing w:line="360" w:lineRule="auto"/>
        <w:ind w:right="625"/>
        <w:rPr>
          <w:rFonts w:asciiTheme="minorBidi" w:hAnsiTheme="minorBidi"/>
          <w:b/>
          <w:bCs/>
          <w:sz w:val="24"/>
          <w:szCs w:val="24"/>
        </w:rPr>
      </w:pPr>
      <w:r>
        <w:rPr>
          <w:rFonts w:asciiTheme="minorBidi" w:hAnsiTheme="minorBidi"/>
          <w:b/>
          <w:bCs/>
          <w:sz w:val="24"/>
          <w:szCs w:val="24"/>
        </w:rPr>
        <w:t>Hémoglobine :</w:t>
      </w:r>
    </w:p>
    <w:p w14:paraId="4A7B4ECC" w14:textId="77777777" w:rsidR="00502BB2" w:rsidRDefault="0069123E">
      <w:pPr>
        <w:spacing w:line="360" w:lineRule="auto"/>
        <w:ind w:right="625" w:firstLine="360"/>
        <w:jc w:val="both"/>
        <w:rPr>
          <w:rFonts w:asciiTheme="minorBidi" w:hAnsiTheme="minorBidi"/>
          <w:sz w:val="24"/>
          <w:szCs w:val="24"/>
        </w:rPr>
      </w:pPr>
      <w:r>
        <w:rPr>
          <w:rFonts w:asciiTheme="minorBidi" w:hAnsiTheme="minorBidi"/>
          <w:sz w:val="24"/>
          <w:szCs w:val="24"/>
        </w:rPr>
        <w:t xml:space="preserve">L’analyse statistique de l’hémoglobine entre les 2 groupes ne présentent aucune différence significative, cependant on remarque qu’au niveau du service de réanimation le </w:t>
      </w:r>
      <w:proofErr w:type="spellStart"/>
      <w:r>
        <w:rPr>
          <w:rFonts w:asciiTheme="minorBidi" w:hAnsiTheme="minorBidi"/>
          <w:sz w:val="24"/>
          <w:szCs w:val="24"/>
        </w:rPr>
        <w:t>Hb</w:t>
      </w:r>
      <w:proofErr w:type="spellEnd"/>
      <w:r>
        <w:rPr>
          <w:rFonts w:asciiTheme="minorBidi" w:hAnsiTheme="minorBidi"/>
          <w:sz w:val="24"/>
          <w:szCs w:val="24"/>
        </w:rPr>
        <w:t xml:space="preserve"> est a 13.33±0.71 g/dl et celui du service de médecine interne a 13.85±0.44 g/dl Qui se trouvent dans les norme clinique pose a 13-18 g/dl.</w:t>
      </w:r>
    </w:p>
    <w:p w14:paraId="778ABD99" w14:textId="77777777" w:rsidR="00502BB2" w:rsidRDefault="0069123E">
      <w:pPr>
        <w:keepNext/>
        <w:spacing w:line="360" w:lineRule="auto"/>
        <w:ind w:left="360" w:right="625"/>
        <w:jc w:val="center"/>
      </w:pPr>
      <w:r>
        <w:rPr>
          <w:rFonts w:asciiTheme="minorBidi" w:hAnsiTheme="minorBidi"/>
          <w:sz w:val="24"/>
          <w:szCs w:val="24"/>
        </w:rPr>
        <w:object w:dxaOrig="8371" w:dyaOrig="4731" w14:anchorId="5410E5B0">
          <v:shape id="_x0000_i1047" type="#_x0000_t75" style="width:419.15pt;height:237.45pt" o:ole="">
            <v:imagedata r:id="rId141" o:title=""/>
          </v:shape>
          <o:OLEObject Type="Embed" ProgID="Prism10.Document" ShapeID="_x0000_i1047" DrawAspect="Content" ObjectID="_1842872882" r:id="rId142"/>
        </w:object>
      </w:r>
    </w:p>
    <w:p w14:paraId="2098A074" w14:textId="50030C57" w:rsidR="00502BB2" w:rsidRDefault="0069123E">
      <w:pPr>
        <w:pStyle w:val="Caption"/>
        <w:jc w:val="center"/>
        <w:rPr>
          <w:rFonts w:asciiTheme="minorBidi" w:hAnsiTheme="minorBidi"/>
          <w:b/>
          <w:bCs/>
          <w:sz w:val="24"/>
          <w:szCs w:val="24"/>
        </w:rPr>
      </w:pPr>
      <w:bookmarkStart w:id="113" w:name="_Toc225723055"/>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51</w:t>
      </w:r>
      <w:r>
        <w:rPr>
          <w:rFonts w:asciiTheme="minorBidi" w:hAnsiTheme="minorBidi"/>
          <w:b/>
          <w:bCs/>
          <w:sz w:val="24"/>
          <w:szCs w:val="24"/>
        </w:rPr>
        <w:fldChar w:fldCharType="end"/>
      </w:r>
      <w:r>
        <w:rPr>
          <w:rFonts w:asciiTheme="minorBidi" w:hAnsiTheme="minorBidi"/>
          <w:sz w:val="24"/>
          <w:szCs w:val="24"/>
        </w:rPr>
        <w:t xml:space="preserve"> : Figure des moyennes des VGM et TP</w:t>
      </w:r>
      <w:bookmarkEnd w:id="113"/>
    </w:p>
    <w:p w14:paraId="1A503E03" w14:textId="4454F07C"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5</w:t>
      </w:r>
      <w:r w:rsidR="003462B7">
        <w:rPr>
          <w:rFonts w:asciiTheme="minorBidi" w:hAnsiTheme="minorBidi"/>
          <w:b/>
          <w:bCs/>
          <w:sz w:val="24"/>
          <w:szCs w:val="24"/>
        </w:rPr>
        <w:t>1</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de Mann–Whitney. Le nombre d’étoiles indique le niveau de différence significative (p &lt; 0,05), déterminé par le test de Mann–Whitney.</w:t>
      </w:r>
    </w:p>
    <w:p w14:paraId="1367B197" w14:textId="77777777" w:rsidR="00502BB2" w:rsidRDefault="0069123E">
      <w:pPr>
        <w:pStyle w:val="ListParagraph"/>
        <w:numPr>
          <w:ilvl w:val="0"/>
          <w:numId w:val="23"/>
        </w:numPr>
        <w:spacing w:line="360" w:lineRule="auto"/>
        <w:rPr>
          <w:rFonts w:asciiTheme="minorBidi" w:hAnsiTheme="minorBidi"/>
          <w:sz w:val="24"/>
          <w:szCs w:val="24"/>
        </w:rPr>
      </w:pPr>
      <w:r>
        <w:rPr>
          <w:rFonts w:asciiTheme="minorBidi" w:hAnsiTheme="minorBidi"/>
          <w:b/>
          <w:bCs/>
          <w:sz w:val="24"/>
          <w:szCs w:val="24"/>
        </w:rPr>
        <w:t>VGM (Volume globulaire moyen)</w:t>
      </w:r>
    </w:p>
    <w:p w14:paraId="0C149FB0"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L’analyse statistique du volume globulaire moyen (VGM), qui reflète la taille des globules rouges, ne montre pas de différence significative entre les deux groupes. Les valeurs observées au niveau du service de réanimation (78,31 ± 3,45 %.) sont proches de celles du service de médecine interne (78,98 ± 0,97 %.), qui se trouvent peu </w:t>
      </w:r>
      <w:proofErr w:type="spellStart"/>
      <w:r>
        <w:rPr>
          <w:rFonts w:asciiTheme="minorBidi" w:hAnsiTheme="minorBidi"/>
          <w:sz w:val="24"/>
          <w:szCs w:val="24"/>
        </w:rPr>
        <w:t>inferieur</w:t>
      </w:r>
      <w:proofErr w:type="spellEnd"/>
      <w:r>
        <w:rPr>
          <w:rFonts w:asciiTheme="minorBidi" w:hAnsiTheme="minorBidi"/>
          <w:sz w:val="24"/>
          <w:szCs w:val="24"/>
        </w:rPr>
        <w:t xml:space="preserve"> aux normes clinique (80-100%)</w:t>
      </w:r>
    </w:p>
    <w:p w14:paraId="0E3ECE66" w14:textId="77777777" w:rsidR="00502BB2" w:rsidRDefault="0069123E">
      <w:pPr>
        <w:pStyle w:val="Heading4"/>
        <w:numPr>
          <w:ilvl w:val="0"/>
          <w:numId w:val="15"/>
        </w:numPr>
        <w:rPr>
          <w:sz w:val="24"/>
          <w:szCs w:val="24"/>
        </w:rPr>
      </w:pPr>
      <w:r>
        <w:rPr>
          <w:rStyle w:val="Heading4Char"/>
          <w:rFonts w:asciiTheme="minorBidi" w:hAnsiTheme="minorBidi" w:cstheme="minorBidi"/>
          <w:b/>
          <w:bCs/>
          <w:color w:val="0D0D0D" w:themeColor="text1" w:themeTint="F2"/>
        </w:rPr>
        <w:t>TP (Taux de prothrombine)</w:t>
      </w:r>
    </w:p>
    <w:p w14:paraId="1A80E005"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L’analyse statistique du taux de prothrombine (TP), qui évalue la vitesse de coagulation sanguine, montre une différence significative entre les deux groupes. Les patients du service de réanimation présentent des valeurs plus faibles (63,4 ± 2,45 %) comparativement à ceux du service de médecine interne (79,38 ± 3,76 %), qui se trouve dans les normes clinique (70-100%)</w:t>
      </w:r>
    </w:p>
    <w:p w14:paraId="5D1EE5CC"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lastRenderedPageBreak/>
        <w:t>Cette diminution du TP traduit un ralentissement de la coagulation, pouvant être en lien avec plusieurs facteurs tels que la prise d’antivitamines K, une carence en vitamine K, une atteinte hépatique ou un trouble de la coagulation.</w:t>
      </w:r>
    </w:p>
    <w:p w14:paraId="0562B5FA" w14:textId="77777777" w:rsidR="00502BB2" w:rsidRDefault="0069123E">
      <w:pPr>
        <w:pStyle w:val="Heading3"/>
        <w:numPr>
          <w:ilvl w:val="0"/>
          <w:numId w:val="13"/>
        </w:numPr>
      </w:pPr>
      <w:bookmarkStart w:id="114" w:name="_Toc226577361"/>
      <w:r>
        <w:rPr>
          <w:rStyle w:val="Heading3Char"/>
          <w:rFonts w:asciiTheme="minorBidi" w:hAnsiTheme="minorBidi" w:cstheme="minorBidi"/>
          <w:b/>
          <w:bCs/>
          <w:color w:val="0D0D0D" w:themeColor="text1" w:themeTint="F2"/>
          <w:sz w:val="24"/>
          <w:szCs w:val="24"/>
        </w:rPr>
        <w:t>Paramètres lipidiques</w:t>
      </w:r>
      <w:r>
        <w:t> :</w:t>
      </w:r>
      <w:bookmarkEnd w:id="114"/>
    </w:p>
    <w:p w14:paraId="36EBFCC1" w14:textId="77777777" w:rsidR="00502BB2" w:rsidRDefault="0069123E">
      <w:pPr>
        <w:pStyle w:val="ListParagraph"/>
        <w:keepNext/>
        <w:spacing w:line="360" w:lineRule="auto"/>
        <w:jc w:val="center"/>
      </w:pPr>
      <w:r>
        <w:rPr>
          <w:rFonts w:asciiTheme="minorBidi" w:hAnsiTheme="minorBidi"/>
          <w:sz w:val="24"/>
          <w:szCs w:val="24"/>
        </w:rPr>
        <w:object w:dxaOrig="8513" w:dyaOrig="4383" w14:anchorId="274882C1">
          <v:shape id="_x0000_i1048" type="#_x0000_t75" style="width:426pt;height:218.55pt" o:ole="">
            <v:imagedata r:id="rId143" o:title=""/>
          </v:shape>
          <o:OLEObject Type="Embed" ProgID="Prism10.Document" ShapeID="_x0000_i1048" DrawAspect="Content" ObjectID="_1842872883" r:id="rId144"/>
        </w:object>
      </w:r>
    </w:p>
    <w:p w14:paraId="164C5627" w14:textId="1F959E3B" w:rsidR="00502BB2" w:rsidRDefault="0069123E">
      <w:pPr>
        <w:pStyle w:val="Caption"/>
        <w:jc w:val="center"/>
        <w:rPr>
          <w:rFonts w:asciiTheme="minorBidi" w:hAnsiTheme="minorBidi"/>
          <w:sz w:val="24"/>
          <w:szCs w:val="24"/>
        </w:rPr>
      </w:pPr>
      <w:bookmarkStart w:id="115" w:name="_Toc225723056"/>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52</w:t>
      </w:r>
      <w:r>
        <w:rPr>
          <w:rFonts w:asciiTheme="minorBidi" w:hAnsiTheme="minorBidi"/>
          <w:b/>
          <w:bCs/>
          <w:sz w:val="24"/>
          <w:szCs w:val="24"/>
        </w:rPr>
        <w:fldChar w:fldCharType="end"/>
      </w:r>
      <w:r>
        <w:rPr>
          <w:rFonts w:asciiTheme="minorBidi" w:hAnsiTheme="minorBidi"/>
          <w:sz w:val="24"/>
          <w:szCs w:val="24"/>
        </w:rPr>
        <w:t xml:space="preserve"> : Figure des moyennes des paramètres lipidiques</w:t>
      </w:r>
      <w:bookmarkEnd w:id="115"/>
    </w:p>
    <w:p w14:paraId="0991C813" w14:textId="094A591C"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5</w:t>
      </w:r>
      <w:r w:rsidR="003462B7">
        <w:rPr>
          <w:rFonts w:asciiTheme="minorBidi" w:hAnsiTheme="minorBidi"/>
          <w:b/>
          <w:bCs/>
          <w:sz w:val="24"/>
          <w:szCs w:val="24"/>
        </w:rPr>
        <w:t>2</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des tests de Mann–Whitney et du test t de Student, respectivement.</w:t>
      </w:r>
    </w:p>
    <w:p w14:paraId="38B53354" w14:textId="77777777" w:rsidR="00502BB2" w:rsidRDefault="0069123E">
      <w:pPr>
        <w:pStyle w:val="Heading4"/>
        <w:numPr>
          <w:ilvl w:val="0"/>
          <w:numId w:val="24"/>
        </w:numPr>
        <w:rPr>
          <w:sz w:val="24"/>
          <w:szCs w:val="24"/>
        </w:rPr>
      </w:pPr>
      <w:r>
        <w:rPr>
          <w:rStyle w:val="Heading4Char"/>
          <w:rFonts w:asciiTheme="minorBidi" w:hAnsiTheme="minorBidi" w:cstheme="minorBidi"/>
          <w:b/>
          <w:bCs/>
          <w:color w:val="0D0D0D" w:themeColor="text1" w:themeTint="F2"/>
        </w:rPr>
        <w:t>Triglycérides (TG)</w:t>
      </w:r>
    </w:p>
    <w:p w14:paraId="1A7F00B9" w14:textId="77777777" w:rsidR="00502BB2" w:rsidRDefault="0069123E">
      <w:pPr>
        <w:spacing w:line="360" w:lineRule="auto"/>
        <w:ind w:left="-1" w:right="625" w:firstLine="432"/>
        <w:jc w:val="both"/>
        <w:rPr>
          <w:rFonts w:asciiTheme="minorBidi" w:hAnsiTheme="minorBidi"/>
          <w:sz w:val="24"/>
          <w:szCs w:val="24"/>
        </w:rPr>
      </w:pPr>
      <w:r>
        <w:rPr>
          <w:rFonts w:asciiTheme="minorBidi" w:hAnsiTheme="minorBidi"/>
          <w:sz w:val="24"/>
          <w:szCs w:val="24"/>
        </w:rPr>
        <w:t>L’analyse statistique des triglycérides ne montre pas de différence significative entre les deux groupes. Toutefois, les patients du service de réanimation présentent des valeurs plus élevées (1,916 ± 0,403 g/L) comparativement à ceux du service de médecine interne (1,504 ± 0,304 g/L). Ces valeurs dépassent légèrement l’intervalle physiologique (0,45–1,5 g/L).</w:t>
      </w:r>
    </w:p>
    <w:p w14:paraId="154B7F91" w14:textId="77777777" w:rsidR="00502BB2" w:rsidRDefault="0069123E">
      <w:pPr>
        <w:spacing w:line="360" w:lineRule="auto"/>
        <w:ind w:left="-1" w:right="625" w:firstLine="432"/>
        <w:jc w:val="both"/>
        <w:rPr>
          <w:rFonts w:asciiTheme="minorBidi" w:hAnsiTheme="minorBidi"/>
          <w:sz w:val="24"/>
          <w:szCs w:val="24"/>
        </w:rPr>
      </w:pPr>
      <w:r>
        <w:rPr>
          <w:rFonts w:asciiTheme="minorBidi" w:hAnsiTheme="minorBidi"/>
          <w:sz w:val="24"/>
          <w:szCs w:val="24"/>
        </w:rPr>
        <w:t>Cette élévation peut s’expliquer par un déficit en insuline, favorisant la libération des triglycérides et la diminution de leur dégradation, en lien avec un état de résistance à l’insuline, cela reflète un déséquilibre métabolique global associé au diabète décompensé</w:t>
      </w:r>
    </w:p>
    <w:p w14:paraId="0C69A6A9" w14:textId="77777777" w:rsidR="00502BB2" w:rsidRDefault="0069123E">
      <w:pPr>
        <w:pStyle w:val="Heading4"/>
        <w:rPr>
          <w:rFonts w:asciiTheme="minorBidi" w:hAnsiTheme="minorBidi" w:cstheme="minorBidi"/>
          <w:b/>
          <w:bCs/>
          <w:color w:val="0D0D0D" w:themeColor="text1" w:themeTint="F2"/>
        </w:rPr>
      </w:pPr>
      <w:r>
        <w:rPr>
          <w:rFonts w:asciiTheme="minorBidi" w:hAnsiTheme="minorBidi" w:cstheme="minorBidi"/>
          <w:b/>
          <w:bCs/>
          <w:color w:val="0D0D0D" w:themeColor="text1" w:themeTint="F2"/>
        </w:rPr>
        <w:lastRenderedPageBreak/>
        <w:t>b. Cholestérol</w:t>
      </w:r>
    </w:p>
    <w:p w14:paraId="4C2B51B9" w14:textId="77777777" w:rsidR="00502BB2" w:rsidRDefault="0069123E">
      <w:pPr>
        <w:spacing w:line="360" w:lineRule="auto"/>
        <w:ind w:left="-1" w:right="625" w:firstLine="361"/>
        <w:jc w:val="both"/>
        <w:rPr>
          <w:rFonts w:asciiTheme="minorBidi" w:hAnsiTheme="minorBidi"/>
          <w:sz w:val="24"/>
          <w:szCs w:val="24"/>
        </w:rPr>
      </w:pPr>
      <w:r>
        <w:rPr>
          <w:rFonts w:asciiTheme="minorBidi" w:hAnsiTheme="minorBidi"/>
          <w:sz w:val="24"/>
          <w:szCs w:val="24"/>
        </w:rPr>
        <w:t>L’analyse statistique du cholestérol ne montre pas de différence significative entre les deux groupes. Les patients du service de réanimation présentent des valeurs légèrement inférieures (1,355 ± 0,117 g/L) comparativement à ceux du service de médecine interne (1,494 ± 0,093 g/L). Ces valeurs se situent dans l’intervalle physiologique (1,25–2 g/L).</w:t>
      </w:r>
    </w:p>
    <w:p w14:paraId="34EB061E"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116" w:name="_Toc226577362"/>
      <w:r>
        <w:rPr>
          <w:rFonts w:asciiTheme="minorBidi" w:hAnsiTheme="minorBidi" w:cstheme="minorBidi"/>
          <w:b/>
          <w:bCs/>
          <w:color w:val="0D0D0D" w:themeColor="text1" w:themeTint="F2"/>
          <w:sz w:val="24"/>
          <w:szCs w:val="24"/>
        </w:rPr>
        <w:t>Paramètres hépatiques :</w:t>
      </w:r>
      <w:bookmarkEnd w:id="116"/>
    </w:p>
    <w:p w14:paraId="3756738F" w14:textId="77777777" w:rsidR="00502BB2" w:rsidRDefault="0069123E">
      <w:pPr>
        <w:pStyle w:val="ListParagraph"/>
        <w:keepNext/>
        <w:spacing w:line="360" w:lineRule="auto"/>
        <w:jc w:val="center"/>
      </w:pPr>
      <w:r>
        <w:rPr>
          <w:rFonts w:asciiTheme="minorBidi" w:hAnsiTheme="minorBidi"/>
          <w:sz w:val="24"/>
          <w:szCs w:val="24"/>
        </w:rPr>
        <w:object w:dxaOrig="8513" w:dyaOrig="4146" w14:anchorId="23CCFC95">
          <v:shape id="_x0000_i1049" type="#_x0000_t75" style="width:426pt;height:207.45pt" o:ole="">
            <v:imagedata r:id="rId145" o:title=""/>
          </v:shape>
          <o:OLEObject Type="Embed" ProgID="Prism10.Document" ShapeID="_x0000_i1049" DrawAspect="Content" ObjectID="_1842872884" r:id="rId146"/>
        </w:object>
      </w:r>
    </w:p>
    <w:p w14:paraId="0A9BF371" w14:textId="79B5345E" w:rsidR="00502BB2" w:rsidRDefault="0069123E">
      <w:pPr>
        <w:pStyle w:val="Caption"/>
        <w:jc w:val="center"/>
        <w:rPr>
          <w:rFonts w:asciiTheme="minorBidi" w:hAnsiTheme="minorBidi"/>
          <w:sz w:val="24"/>
          <w:szCs w:val="24"/>
        </w:rPr>
      </w:pPr>
      <w:bookmarkStart w:id="117" w:name="_Toc225723057"/>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53</w:t>
      </w:r>
      <w:r>
        <w:rPr>
          <w:rFonts w:asciiTheme="minorBidi" w:hAnsiTheme="minorBidi"/>
          <w:b/>
          <w:bCs/>
          <w:sz w:val="24"/>
          <w:szCs w:val="24"/>
        </w:rPr>
        <w:fldChar w:fldCharType="end"/>
      </w:r>
      <w:r>
        <w:rPr>
          <w:rFonts w:asciiTheme="minorBidi" w:hAnsiTheme="minorBidi"/>
          <w:sz w:val="24"/>
          <w:szCs w:val="24"/>
        </w:rPr>
        <w:t xml:space="preserve"> : Figure des moyennes des paramètres hépatiques</w:t>
      </w:r>
      <w:bookmarkEnd w:id="117"/>
    </w:p>
    <w:p w14:paraId="1BD6FC43" w14:textId="08A6809E"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5</w:t>
      </w:r>
      <w:r w:rsidR="003462B7">
        <w:rPr>
          <w:rFonts w:asciiTheme="minorBidi" w:hAnsiTheme="minorBidi"/>
          <w:b/>
          <w:bCs/>
          <w:sz w:val="24"/>
          <w:szCs w:val="24"/>
        </w:rPr>
        <w:t>3</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de Mann–Whitney. Le nombre d’étoiles indique le niveau de différence significative (p &lt; 0,05), déterminé par ce même test.</w:t>
      </w:r>
    </w:p>
    <w:p w14:paraId="21985163" w14:textId="77777777" w:rsidR="00502BB2" w:rsidRDefault="0069123E">
      <w:pPr>
        <w:pStyle w:val="Heading4"/>
        <w:numPr>
          <w:ilvl w:val="0"/>
          <w:numId w:val="25"/>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ASAT (Aspartate Aminotransférase)</w:t>
      </w:r>
    </w:p>
    <w:p w14:paraId="6B76FB89" w14:textId="77777777" w:rsidR="00502BB2" w:rsidRDefault="0069123E">
      <w:pPr>
        <w:spacing w:line="360" w:lineRule="auto"/>
        <w:ind w:right="625" w:firstLine="420"/>
        <w:jc w:val="both"/>
        <w:rPr>
          <w:rFonts w:asciiTheme="minorBidi" w:hAnsiTheme="minorBidi"/>
          <w:sz w:val="24"/>
          <w:szCs w:val="24"/>
        </w:rPr>
      </w:pPr>
      <w:r>
        <w:rPr>
          <w:rFonts w:asciiTheme="minorBidi" w:hAnsiTheme="minorBidi"/>
          <w:sz w:val="24"/>
          <w:szCs w:val="24"/>
        </w:rPr>
        <w:t xml:space="preserve">L’analyse statistique de l’ASAT, enzyme présente principalement dans le foie, le cœur, les muscles squelettiques et les reins, ne montre pas de différence significative entre les deux groupes. Toutefois, les patients du service de réanimation présentent des valeurs plus élevées (42,38 ± 18,81 U/L) comparativement à ceux du service de médecine interne (23,64 ± 2,45 U/L). Les </w:t>
      </w:r>
      <w:r>
        <w:rPr>
          <w:rFonts w:asciiTheme="minorBidi" w:hAnsiTheme="minorBidi"/>
          <w:sz w:val="24"/>
          <w:szCs w:val="24"/>
        </w:rPr>
        <w:lastRenderedPageBreak/>
        <w:t>valeurs observées en réanimation dépassent légèrement l’intervalle physiologique (0–40 U/L).</w:t>
      </w:r>
    </w:p>
    <w:p w14:paraId="4E9C95EE" w14:textId="77777777" w:rsidR="00502BB2" w:rsidRDefault="0069123E">
      <w:pPr>
        <w:spacing w:line="360" w:lineRule="auto"/>
        <w:ind w:right="625"/>
        <w:jc w:val="both"/>
        <w:rPr>
          <w:rFonts w:asciiTheme="minorBidi" w:hAnsiTheme="minorBidi"/>
          <w:sz w:val="24"/>
          <w:szCs w:val="24"/>
        </w:rPr>
      </w:pPr>
      <w:r>
        <w:rPr>
          <w:rFonts w:asciiTheme="minorBidi" w:hAnsiTheme="minorBidi"/>
          <w:sz w:val="24"/>
          <w:szCs w:val="24"/>
        </w:rPr>
        <w:t>Cette augmentation peut s’expliquer par une atteinte cellulaire, notamment hépatique, cardiaque ou musculaire.</w:t>
      </w:r>
    </w:p>
    <w:p w14:paraId="6830994F" w14:textId="77777777" w:rsidR="00502BB2" w:rsidRDefault="0069123E">
      <w:pPr>
        <w:pStyle w:val="Heading4"/>
        <w:numPr>
          <w:ilvl w:val="0"/>
          <w:numId w:val="25"/>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ALAT (Alanine Aminotransférase)</w:t>
      </w:r>
    </w:p>
    <w:p w14:paraId="2B766157" w14:textId="77777777" w:rsidR="00502BB2" w:rsidRDefault="0069123E">
      <w:pPr>
        <w:spacing w:line="360" w:lineRule="auto"/>
        <w:ind w:right="625" w:firstLine="420"/>
        <w:jc w:val="both"/>
        <w:rPr>
          <w:rFonts w:asciiTheme="minorBidi" w:hAnsiTheme="minorBidi"/>
          <w:sz w:val="24"/>
          <w:szCs w:val="24"/>
        </w:rPr>
      </w:pPr>
      <w:r>
        <w:rPr>
          <w:rFonts w:asciiTheme="minorBidi" w:hAnsiTheme="minorBidi"/>
          <w:sz w:val="24"/>
          <w:szCs w:val="24"/>
        </w:rPr>
        <w:t>L’analyse statistique de l’ALAT, enzyme principalement hépatique, montre une différence significative entre les deux groupes. Les patients du service de réanimation présentent des valeurs nettement plus élevées (89,82 ± 56,54 U/L) comparativement à ceux du service de médecine interne (17,90 ± 1,77 U/L). Les valeurs observées en réanimation dépassent largement l’intervalle physiologique (0–45 U/L).</w:t>
      </w:r>
    </w:p>
    <w:p w14:paraId="778100D2" w14:textId="77777777" w:rsidR="00502BB2" w:rsidRDefault="0069123E">
      <w:pPr>
        <w:spacing w:line="360" w:lineRule="auto"/>
        <w:ind w:right="625" w:firstLine="359"/>
        <w:jc w:val="both"/>
        <w:rPr>
          <w:rFonts w:asciiTheme="minorBidi" w:hAnsiTheme="minorBidi"/>
          <w:sz w:val="24"/>
          <w:szCs w:val="24"/>
        </w:rPr>
      </w:pPr>
      <w:r>
        <w:rPr>
          <w:rFonts w:asciiTheme="minorBidi" w:hAnsiTheme="minorBidi"/>
          <w:sz w:val="24"/>
          <w:szCs w:val="24"/>
        </w:rPr>
        <w:t>Cette élévation traduit une atteinte des cellules hépatiques (cytolyse), pouvant être liée à la déshydratation et à l’acidose observées dans ce contexte.</w:t>
      </w:r>
    </w:p>
    <w:p w14:paraId="2B097DAA" w14:textId="77777777" w:rsidR="00502BB2" w:rsidRDefault="0069123E">
      <w:pPr>
        <w:pStyle w:val="Heading4"/>
        <w:numPr>
          <w:ilvl w:val="0"/>
          <w:numId w:val="25"/>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t>Protéine C-Réactive (CRP) :</w:t>
      </w:r>
    </w:p>
    <w:p w14:paraId="2626A286" w14:textId="77777777" w:rsidR="00502BB2" w:rsidRDefault="0069123E">
      <w:pPr>
        <w:keepNext/>
        <w:spacing w:line="360" w:lineRule="auto"/>
        <w:ind w:left="-1" w:right="625"/>
        <w:jc w:val="center"/>
      </w:pPr>
      <w:r>
        <w:rPr>
          <w:rFonts w:asciiTheme="minorBidi" w:hAnsiTheme="minorBidi"/>
          <w:sz w:val="24"/>
          <w:szCs w:val="24"/>
        </w:rPr>
        <w:object w:dxaOrig="7089" w:dyaOrig="5713" w14:anchorId="0A02AB23">
          <v:shape id="_x0000_i1050" type="#_x0000_t75" style="width:354pt;height:286.3pt" o:ole="">
            <v:imagedata r:id="rId147" o:title=""/>
          </v:shape>
          <o:OLEObject Type="Embed" ProgID="Prism10.Document" ShapeID="_x0000_i1050" DrawAspect="Content" ObjectID="_1842872885" r:id="rId148"/>
        </w:object>
      </w:r>
    </w:p>
    <w:p w14:paraId="3335B843" w14:textId="3D53F004" w:rsidR="00502BB2" w:rsidRDefault="0069123E">
      <w:pPr>
        <w:pStyle w:val="Caption"/>
        <w:jc w:val="center"/>
        <w:rPr>
          <w:rFonts w:asciiTheme="minorBidi" w:hAnsiTheme="minorBidi"/>
          <w:sz w:val="24"/>
          <w:szCs w:val="24"/>
        </w:rPr>
      </w:pPr>
      <w:bookmarkStart w:id="118" w:name="_Toc225723058"/>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54</w:t>
      </w:r>
      <w:r>
        <w:rPr>
          <w:rFonts w:asciiTheme="minorBidi" w:hAnsiTheme="minorBidi"/>
          <w:b/>
          <w:bCs/>
          <w:sz w:val="24"/>
          <w:szCs w:val="24"/>
        </w:rPr>
        <w:fldChar w:fldCharType="end"/>
      </w:r>
      <w:r>
        <w:rPr>
          <w:rFonts w:asciiTheme="minorBidi" w:hAnsiTheme="minorBidi"/>
          <w:sz w:val="24"/>
          <w:szCs w:val="24"/>
        </w:rPr>
        <w:t xml:space="preserve"> : Figure des moyennes du CRP</w:t>
      </w:r>
      <w:bookmarkEnd w:id="118"/>
    </w:p>
    <w:p w14:paraId="2EEAA40E" w14:textId="15FF361E"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lastRenderedPageBreak/>
        <w:t>Les valeurs présentées (</w:t>
      </w:r>
      <w:r>
        <w:rPr>
          <w:rFonts w:asciiTheme="minorBidi" w:hAnsiTheme="minorBidi"/>
          <w:b/>
          <w:bCs/>
          <w:sz w:val="24"/>
          <w:szCs w:val="24"/>
        </w:rPr>
        <w:t>figure 5</w:t>
      </w:r>
      <w:r w:rsidR="003462B7">
        <w:rPr>
          <w:rFonts w:asciiTheme="minorBidi" w:hAnsiTheme="minorBidi"/>
          <w:b/>
          <w:bCs/>
          <w:sz w:val="24"/>
          <w:szCs w:val="24"/>
        </w:rPr>
        <w:t>4</w:t>
      </w:r>
      <w:r>
        <w:rPr>
          <w:rFonts w:asciiTheme="minorBidi" w:hAnsiTheme="minorBidi"/>
          <w:sz w:val="24"/>
          <w:szCs w:val="24"/>
        </w:rPr>
        <w:t xml:space="preserve">) sont exprimées sous forme de moyennes ± écart-type. La mention </w:t>
      </w:r>
      <w:r>
        <w:rPr>
          <w:rFonts w:asciiTheme="minorBidi" w:hAnsiTheme="minorBidi"/>
          <w:i/>
          <w:iCs/>
          <w:sz w:val="24"/>
          <w:szCs w:val="24"/>
        </w:rPr>
        <w:t>ns</w:t>
      </w:r>
      <w:r>
        <w:rPr>
          <w:rFonts w:asciiTheme="minorBidi" w:hAnsiTheme="minorBidi"/>
          <w:sz w:val="24"/>
          <w:szCs w:val="24"/>
        </w:rPr>
        <w:t xml:space="preserve"> indique l’absence de différence significative entre les deux populations (p &gt; 0,05), déterminée à l’aide du test de Mann–Whitney.</w:t>
      </w:r>
    </w:p>
    <w:p w14:paraId="7AA46C06"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L’analyse statistique de la CRP, marqueur inflammatoire produit par le foie, ne montre aucune différence significative entre les deux groupes. En effet, les patients du service de réanimation présentent des valeurs plus élevées (64,43 ± 26,98 mg/L) comparativement à ceux du service de médecine interne (50,95 ± 16,88 mg/L). Ces valeurs sont largement supérieures aux normes physiologiques (&lt; 6 mg/L).</w:t>
      </w:r>
    </w:p>
    <w:p w14:paraId="10D11233" w14:textId="77777777" w:rsidR="00502BB2" w:rsidRDefault="0069123E">
      <w:pPr>
        <w:spacing w:line="360" w:lineRule="auto"/>
        <w:ind w:left="-1" w:right="625" w:firstLine="361"/>
        <w:jc w:val="both"/>
        <w:rPr>
          <w:rFonts w:asciiTheme="minorBidi" w:hAnsiTheme="minorBidi"/>
          <w:sz w:val="24"/>
          <w:szCs w:val="24"/>
        </w:rPr>
      </w:pPr>
      <w:r>
        <w:rPr>
          <w:rFonts w:asciiTheme="minorBidi" w:hAnsiTheme="minorBidi"/>
          <w:sz w:val="24"/>
          <w:szCs w:val="24"/>
        </w:rPr>
        <w:t>Cette élévation de la CRP traduit la présence d’un état inflammatoire systémique, pouvant être lié soit au stress métabolique induit par l’acidocétose, soit à une origine infectieuse, notamment bactérienne qui peut constituer un facteur déclenchant ou aggravant de la décompensation métabolique.</w:t>
      </w:r>
    </w:p>
    <w:p w14:paraId="3FB3F748"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119" w:name="_Toc226577363"/>
      <w:r>
        <w:rPr>
          <w:rFonts w:asciiTheme="minorBidi" w:hAnsiTheme="minorBidi" w:cstheme="minorBidi"/>
          <w:b/>
          <w:bCs/>
          <w:color w:val="0D0D0D" w:themeColor="text1" w:themeTint="F2"/>
          <w:sz w:val="24"/>
          <w:szCs w:val="24"/>
        </w:rPr>
        <w:t>Paramètres de la fonction rénale :</w:t>
      </w:r>
      <w:bookmarkEnd w:id="119"/>
    </w:p>
    <w:p w14:paraId="76226D4E" w14:textId="77777777" w:rsidR="00502BB2" w:rsidRDefault="0069123E">
      <w:pPr>
        <w:keepNext/>
        <w:spacing w:line="360" w:lineRule="auto"/>
        <w:jc w:val="center"/>
      </w:pPr>
      <w:r>
        <w:object w:dxaOrig="6899" w:dyaOrig="3877" w14:anchorId="236C0A60">
          <v:shape id="_x0000_i1051" type="#_x0000_t75" style="width:344.55pt;height:193.7pt" o:ole="">
            <v:imagedata r:id="rId149" o:title=""/>
          </v:shape>
          <o:OLEObject Type="Embed" ProgID="Prism10.Document" ShapeID="_x0000_i1051" DrawAspect="Content" ObjectID="_1842872886" r:id="rId150"/>
        </w:object>
      </w:r>
    </w:p>
    <w:p w14:paraId="21C8359C" w14:textId="075EE853" w:rsidR="00502BB2" w:rsidRDefault="0069123E">
      <w:pPr>
        <w:pStyle w:val="Caption"/>
        <w:jc w:val="center"/>
        <w:rPr>
          <w:rFonts w:asciiTheme="minorBidi" w:hAnsiTheme="minorBidi"/>
          <w:sz w:val="24"/>
          <w:szCs w:val="24"/>
        </w:rPr>
      </w:pPr>
      <w:bookmarkStart w:id="120" w:name="_Toc225723059"/>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55</w:t>
      </w:r>
      <w:r>
        <w:rPr>
          <w:rFonts w:asciiTheme="minorBidi" w:hAnsiTheme="minorBidi"/>
          <w:b/>
          <w:bCs/>
          <w:sz w:val="24"/>
          <w:szCs w:val="24"/>
        </w:rPr>
        <w:fldChar w:fldCharType="end"/>
      </w:r>
      <w:r>
        <w:rPr>
          <w:rFonts w:asciiTheme="minorBidi" w:hAnsiTheme="minorBidi"/>
          <w:sz w:val="24"/>
          <w:szCs w:val="24"/>
        </w:rPr>
        <w:t xml:space="preserve"> : Figure des moyennes de</w:t>
      </w:r>
      <w:bookmarkEnd w:id="120"/>
      <w:r>
        <w:rPr>
          <w:rFonts w:asciiTheme="minorBidi" w:hAnsiTheme="minorBidi"/>
          <w:sz w:val="24"/>
          <w:szCs w:val="24"/>
        </w:rPr>
        <w:t xml:space="preserve"> l’urée</w:t>
      </w:r>
    </w:p>
    <w:p w14:paraId="18BD6748" w14:textId="5C41273E"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5</w:t>
      </w:r>
      <w:r w:rsidR="003462B7">
        <w:rPr>
          <w:rFonts w:asciiTheme="minorBidi" w:hAnsiTheme="minorBidi"/>
          <w:b/>
          <w:bCs/>
          <w:sz w:val="24"/>
          <w:szCs w:val="24"/>
        </w:rPr>
        <w:t>5</w:t>
      </w:r>
      <w:r>
        <w:rPr>
          <w:rFonts w:asciiTheme="minorBidi" w:hAnsiTheme="minorBidi"/>
          <w:sz w:val="24"/>
          <w:szCs w:val="24"/>
        </w:rPr>
        <w:t>) sont exprimées sous forme de moyennes ± écart-type. Le nombre d’étoiles indique le niveau de différence significative entre les deux populations (p &lt; 0,05), déterminé à l’aide du test de Mann–Whitney.</w:t>
      </w:r>
    </w:p>
    <w:p w14:paraId="3530052E" w14:textId="77777777" w:rsidR="00502BB2" w:rsidRDefault="0069123E">
      <w:pPr>
        <w:pStyle w:val="Heading4"/>
        <w:numPr>
          <w:ilvl w:val="0"/>
          <w:numId w:val="26"/>
        </w:numPr>
        <w:rPr>
          <w:rFonts w:asciiTheme="minorBidi" w:hAnsiTheme="minorBidi" w:cstheme="minorBidi"/>
          <w:b/>
          <w:bCs/>
          <w:color w:val="0D0D0D" w:themeColor="text1" w:themeTint="F2"/>
        </w:rPr>
      </w:pPr>
      <w:r>
        <w:rPr>
          <w:rFonts w:asciiTheme="minorBidi" w:hAnsiTheme="minorBidi" w:cstheme="minorBidi"/>
          <w:b/>
          <w:bCs/>
          <w:color w:val="0D0D0D" w:themeColor="text1" w:themeTint="F2"/>
        </w:rPr>
        <w:lastRenderedPageBreak/>
        <w:t>Urée</w:t>
      </w:r>
    </w:p>
    <w:p w14:paraId="0E438F41"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L’analyse statistique de l’urée montre une différence significative entre les deux groupes. En effet, les patients du service de réanimation présentent des valeurs plus élevées (0,948 ± 0,218 g/L) comparativement à ceux du service de médecine interne (0,426 ± 0,053 g/L). Ces valeurs dépassent l’intervalle physiologique (0,15–0,5 g/L).</w:t>
      </w:r>
    </w:p>
    <w:p w14:paraId="50DB6669"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Cette augmentation peut s’expliquer par une déshydratation sévère liée à une hypovolémie, une insuffisance rénale fonctionnelle ainsi qu’un catabolisme protéique accru en lien avec le déficit en insuline.</w:t>
      </w:r>
    </w:p>
    <w:p w14:paraId="0BF4B406" w14:textId="77777777" w:rsidR="00502BB2" w:rsidRDefault="0069123E">
      <w:pPr>
        <w:pStyle w:val="Heading4"/>
        <w:numPr>
          <w:ilvl w:val="0"/>
          <w:numId w:val="26"/>
        </w:numPr>
        <w:rPr>
          <w:rFonts w:asciiTheme="minorBidi" w:hAnsiTheme="minorBidi" w:cstheme="minorBidi"/>
          <w:b/>
          <w:bCs/>
          <w:color w:val="0D0D0D" w:themeColor="text1" w:themeTint="F2"/>
          <w:sz w:val="24"/>
          <w:szCs w:val="24"/>
        </w:rPr>
      </w:pPr>
      <w:r>
        <w:rPr>
          <w:rFonts w:asciiTheme="minorBidi" w:hAnsiTheme="minorBidi" w:cstheme="minorBidi"/>
          <w:b/>
          <w:bCs/>
          <w:color w:val="0D0D0D" w:themeColor="text1" w:themeTint="F2"/>
          <w:sz w:val="24"/>
          <w:szCs w:val="24"/>
        </w:rPr>
        <w:t>Créatinine</w:t>
      </w:r>
    </w:p>
    <w:p w14:paraId="45AAF08B" w14:textId="77777777" w:rsidR="00502BB2" w:rsidRDefault="0069123E">
      <w:pPr>
        <w:keepNext/>
        <w:spacing w:line="360" w:lineRule="auto"/>
        <w:jc w:val="center"/>
      </w:pPr>
      <w:r>
        <w:rPr>
          <w:rFonts w:asciiTheme="minorBidi" w:hAnsiTheme="minorBidi"/>
          <w:sz w:val="24"/>
          <w:szCs w:val="24"/>
        </w:rPr>
        <w:object w:dxaOrig="6694" w:dyaOrig="5301" w14:anchorId="02D6C23F">
          <v:shape id="_x0000_i1052" type="#_x0000_t75" style="width:334.3pt;height:265.7pt" o:ole="">
            <v:imagedata r:id="rId151" o:title=""/>
          </v:shape>
          <o:OLEObject Type="Embed" ProgID="Prism10.Document" ShapeID="_x0000_i1052" DrawAspect="Content" ObjectID="_1842872887" r:id="rId152"/>
        </w:object>
      </w:r>
    </w:p>
    <w:p w14:paraId="49DADE56" w14:textId="3CFE2909" w:rsidR="00502BB2" w:rsidRDefault="0069123E">
      <w:pPr>
        <w:pStyle w:val="Caption"/>
        <w:jc w:val="center"/>
        <w:rPr>
          <w:rFonts w:asciiTheme="minorBidi" w:hAnsiTheme="minorBidi"/>
          <w:sz w:val="24"/>
          <w:szCs w:val="24"/>
        </w:rPr>
      </w:pPr>
      <w:bookmarkStart w:id="121" w:name="_Toc225723060"/>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56</w:t>
      </w:r>
      <w:r>
        <w:rPr>
          <w:rFonts w:asciiTheme="minorBidi" w:hAnsiTheme="minorBidi"/>
          <w:b/>
          <w:bCs/>
          <w:sz w:val="24"/>
          <w:szCs w:val="24"/>
        </w:rPr>
        <w:fldChar w:fldCharType="end"/>
      </w:r>
      <w:r>
        <w:rPr>
          <w:rFonts w:asciiTheme="minorBidi" w:hAnsiTheme="minorBidi"/>
          <w:sz w:val="24"/>
          <w:szCs w:val="24"/>
        </w:rPr>
        <w:t xml:space="preserve"> : Figure des moyennes de la créatinine</w:t>
      </w:r>
      <w:bookmarkEnd w:id="121"/>
    </w:p>
    <w:p w14:paraId="6C905AE9" w14:textId="6252DC33" w:rsidR="00502BB2" w:rsidRDefault="0069123E">
      <w:pPr>
        <w:spacing w:line="360" w:lineRule="auto"/>
        <w:ind w:right="625" w:firstLine="708"/>
        <w:jc w:val="both"/>
        <w:rPr>
          <w:rFonts w:asciiTheme="minorBidi" w:hAnsiTheme="minorBidi"/>
          <w:sz w:val="24"/>
          <w:szCs w:val="24"/>
        </w:rPr>
      </w:pPr>
      <w:r>
        <w:rPr>
          <w:rFonts w:asciiTheme="minorBidi" w:hAnsiTheme="minorBidi"/>
          <w:sz w:val="24"/>
          <w:szCs w:val="24"/>
        </w:rPr>
        <w:t>Les valeurs présentées (</w:t>
      </w:r>
      <w:r>
        <w:rPr>
          <w:rFonts w:asciiTheme="minorBidi" w:hAnsiTheme="minorBidi"/>
          <w:b/>
          <w:bCs/>
          <w:sz w:val="24"/>
          <w:szCs w:val="24"/>
        </w:rPr>
        <w:t>figure 5</w:t>
      </w:r>
      <w:r w:rsidR="003462B7">
        <w:rPr>
          <w:rFonts w:asciiTheme="minorBidi" w:hAnsiTheme="minorBidi"/>
          <w:b/>
          <w:bCs/>
          <w:sz w:val="24"/>
          <w:szCs w:val="24"/>
        </w:rPr>
        <w:t>6</w:t>
      </w:r>
      <w:r>
        <w:rPr>
          <w:rFonts w:asciiTheme="minorBidi" w:hAnsiTheme="minorBidi"/>
          <w:sz w:val="24"/>
          <w:szCs w:val="24"/>
        </w:rPr>
        <w:t>) sont exprimées sous forme de moyennes ± écart-type. Le nombre d’étoiles indique le niveau de différence significative entre les deux populations (p &lt; 0,05), déterminé à l’aide du test de Mann–Whitney.</w:t>
      </w:r>
    </w:p>
    <w:p w14:paraId="78FC9C65" w14:textId="77777777" w:rsidR="00502BB2" w:rsidRDefault="0069123E">
      <w:pPr>
        <w:spacing w:line="360" w:lineRule="auto"/>
        <w:ind w:left="-1" w:right="625" w:firstLine="709"/>
        <w:jc w:val="both"/>
        <w:rPr>
          <w:rFonts w:asciiTheme="minorBidi" w:hAnsiTheme="minorBidi"/>
          <w:sz w:val="24"/>
          <w:szCs w:val="24"/>
        </w:rPr>
      </w:pPr>
      <w:r>
        <w:rPr>
          <w:rFonts w:asciiTheme="minorBidi" w:hAnsiTheme="minorBidi"/>
          <w:sz w:val="24"/>
          <w:szCs w:val="24"/>
        </w:rPr>
        <w:t xml:space="preserve">L’analyse statistique de la créatinine montre une différence significative entre les deux groupes. En effet, les patients du service de réanimation présentent des valeurs plus élevées (15,78 ± 2,155 mg/L) comparativement à ceux du service de </w:t>
      </w:r>
      <w:r>
        <w:rPr>
          <w:rFonts w:asciiTheme="minorBidi" w:hAnsiTheme="minorBidi"/>
          <w:sz w:val="24"/>
          <w:szCs w:val="24"/>
        </w:rPr>
        <w:lastRenderedPageBreak/>
        <w:t>médecine interne (9,61 ± 0,648 mg/L). Les valeurs observées en réanimation dépassent l’intervalle physiologique (</w:t>
      </w:r>
      <w:bookmarkStart w:id="122" w:name="OLE_LINK1"/>
      <w:r>
        <w:rPr>
          <w:rFonts w:asciiTheme="minorBidi" w:hAnsiTheme="minorBidi"/>
          <w:sz w:val="24"/>
          <w:szCs w:val="24"/>
        </w:rPr>
        <w:t>7–13 mg/L</w:t>
      </w:r>
      <w:bookmarkEnd w:id="122"/>
      <w:r>
        <w:rPr>
          <w:rFonts w:asciiTheme="minorBidi" w:hAnsiTheme="minorBidi"/>
          <w:sz w:val="24"/>
          <w:szCs w:val="24"/>
        </w:rPr>
        <w:t>).</w:t>
      </w:r>
    </w:p>
    <w:p w14:paraId="6E6E277E" w14:textId="1FD67456" w:rsidR="00502BB2" w:rsidRPr="003462B7" w:rsidRDefault="0069123E" w:rsidP="003462B7">
      <w:pPr>
        <w:spacing w:line="360" w:lineRule="auto"/>
        <w:ind w:left="-1" w:right="625" w:firstLine="361"/>
        <w:jc w:val="both"/>
        <w:rPr>
          <w:rFonts w:asciiTheme="minorBidi" w:hAnsiTheme="minorBidi"/>
          <w:sz w:val="24"/>
          <w:szCs w:val="24"/>
        </w:rPr>
      </w:pPr>
      <w:r>
        <w:rPr>
          <w:rFonts w:asciiTheme="minorBidi" w:hAnsiTheme="minorBidi"/>
          <w:sz w:val="24"/>
          <w:szCs w:val="24"/>
        </w:rPr>
        <w:t>Cette élévation de la créatinine s’explique par une insuffisance rénale aiguë fonctionnelle, liée à une déshydratation sévère.</w:t>
      </w:r>
    </w:p>
    <w:p w14:paraId="12EE0F00" w14:textId="77777777" w:rsidR="00502BB2" w:rsidRDefault="0069123E">
      <w:pPr>
        <w:pStyle w:val="Heading3"/>
        <w:numPr>
          <w:ilvl w:val="0"/>
          <w:numId w:val="13"/>
        </w:numPr>
        <w:rPr>
          <w:rFonts w:asciiTheme="minorBidi" w:hAnsiTheme="minorBidi" w:cstheme="minorBidi"/>
          <w:b/>
          <w:bCs/>
          <w:color w:val="0D0D0D" w:themeColor="text1" w:themeTint="F2"/>
          <w:sz w:val="24"/>
          <w:szCs w:val="24"/>
        </w:rPr>
      </w:pPr>
      <w:bookmarkStart w:id="123" w:name="_Toc226577364"/>
      <w:r>
        <w:rPr>
          <w:rFonts w:asciiTheme="minorBidi" w:hAnsiTheme="minorBidi" w:cstheme="minorBidi"/>
          <w:b/>
          <w:bCs/>
          <w:color w:val="0D0D0D" w:themeColor="text1" w:themeTint="F2"/>
          <w:sz w:val="24"/>
          <w:szCs w:val="24"/>
        </w:rPr>
        <w:t>Test de corrélation :</w:t>
      </w:r>
      <w:bookmarkEnd w:id="123"/>
    </w:p>
    <w:p w14:paraId="51C24126" w14:textId="4225F550" w:rsidR="00502BB2" w:rsidRDefault="00CA5B15">
      <w:pPr>
        <w:pStyle w:val="ListParagraph"/>
        <w:keepNext/>
        <w:spacing w:line="360" w:lineRule="auto"/>
        <w:ind w:right="625"/>
        <w:jc w:val="center"/>
      </w:pPr>
      <w:r>
        <w:rPr>
          <w:rFonts w:asciiTheme="minorBidi" w:hAnsiTheme="minorBidi"/>
          <w:sz w:val="24"/>
          <w:szCs w:val="24"/>
        </w:rPr>
        <w:object w:dxaOrig="8438" w:dyaOrig="7070" w14:anchorId="03E6954D">
          <v:shape id="_x0000_i1053" type="#_x0000_t75" style="width:420.85pt;height:354pt" o:ole="">
            <v:imagedata r:id="rId153" o:title=""/>
          </v:shape>
          <o:OLEObject Type="Embed" ProgID="Prism10.Document" ShapeID="_x0000_i1053" DrawAspect="Content" ObjectID="_1842872888" r:id="rId154"/>
        </w:object>
      </w:r>
    </w:p>
    <w:p w14:paraId="244A39F4" w14:textId="418AB7FE" w:rsidR="00502BB2" w:rsidRDefault="0069123E">
      <w:pPr>
        <w:pStyle w:val="Caption"/>
        <w:jc w:val="center"/>
        <w:rPr>
          <w:rFonts w:asciiTheme="minorBidi" w:hAnsiTheme="minorBidi"/>
          <w:sz w:val="24"/>
          <w:szCs w:val="24"/>
        </w:rPr>
      </w:pPr>
      <w:bookmarkStart w:id="124" w:name="_Toc225723061"/>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57</w:t>
      </w:r>
      <w:r>
        <w:rPr>
          <w:rFonts w:asciiTheme="minorBidi" w:hAnsiTheme="minorBidi"/>
          <w:b/>
          <w:bCs/>
          <w:sz w:val="24"/>
          <w:szCs w:val="24"/>
        </w:rPr>
        <w:fldChar w:fldCharType="end"/>
      </w:r>
      <w:r>
        <w:rPr>
          <w:rFonts w:asciiTheme="minorBidi" w:hAnsiTheme="minorBidi"/>
          <w:sz w:val="24"/>
          <w:szCs w:val="24"/>
        </w:rPr>
        <w:t xml:space="preserve"> : Figure de corrélation de Spearman</w:t>
      </w:r>
      <w:bookmarkEnd w:id="124"/>
    </w:p>
    <w:p w14:paraId="04B393C4" w14:textId="1E6C7A24" w:rsidR="005E741F" w:rsidRPr="005E741F" w:rsidRDefault="005E741F" w:rsidP="005E741F">
      <w:pPr>
        <w:spacing w:line="360" w:lineRule="auto"/>
        <w:ind w:firstLine="708"/>
        <w:jc w:val="both"/>
        <w:rPr>
          <w:rFonts w:asciiTheme="minorBidi" w:hAnsiTheme="minorBidi"/>
          <w:sz w:val="24"/>
          <w:szCs w:val="24"/>
        </w:rPr>
      </w:pPr>
      <w:r w:rsidRPr="005E741F">
        <w:rPr>
          <w:rFonts w:asciiTheme="minorBidi" w:hAnsiTheme="minorBidi"/>
          <w:sz w:val="24"/>
          <w:szCs w:val="24"/>
        </w:rPr>
        <w:t xml:space="preserve">La </w:t>
      </w:r>
      <w:r w:rsidRPr="005E741F">
        <w:rPr>
          <w:rFonts w:asciiTheme="minorBidi" w:hAnsiTheme="minorBidi"/>
          <w:b/>
          <w:bCs/>
          <w:sz w:val="24"/>
          <w:szCs w:val="24"/>
        </w:rPr>
        <w:t>figure 5</w:t>
      </w:r>
      <w:r w:rsidR="003462B7">
        <w:rPr>
          <w:rFonts w:asciiTheme="minorBidi" w:hAnsiTheme="minorBidi"/>
          <w:b/>
          <w:bCs/>
          <w:sz w:val="24"/>
          <w:szCs w:val="24"/>
        </w:rPr>
        <w:t>7</w:t>
      </w:r>
      <w:r w:rsidRPr="005E741F">
        <w:rPr>
          <w:rFonts w:asciiTheme="minorBidi" w:hAnsiTheme="minorBidi"/>
          <w:sz w:val="24"/>
          <w:szCs w:val="24"/>
        </w:rPr>
        <w:t xml:space="preserve"> présente la matrice de corrélation obtenue par le test de Spearman entre différents paramètres biologiques chez les patients atteints d’acidocétose diabétique. Les coefficients de corrélation varient de -1 (corrélation négative maximale, représentée en rouge) à +1 (corrélation positive maximale, représentée en bleu).</w:t>
      </w:r>
    </w:p>
    <w:p w14:paraId="783881FE" w14:textId="77777777" w:rsidR="005E741F" w:rsidRPr="005E741F" w:rsidRDefault="005E741F" w:rsidP="005E741F">
      <w:pPr>
        <w:spacing w:line="360" w:lineRule="auto"/>
        <w:ind w:firstLine="708"/>
        <w:jc w:val="both"/>
        <w:rPr>
          <w:rFonts w:asciiTheme="minorBidi" w:hAnsiTheme="minorBidi"/>
          <w:sz w:val="24"/>
          <w:szCs w:val="24"/>
        </w:rPr>
      </w:pPr>
      <w:r w:rsidRPr="005E741F">
        <w:rPr>
          <w:rFonts w:asciiTheme="minorBidi" w:hAnsiTheme="minorBidi"/>
          <w:sz w:val="24"/>
          <w:szCs w:val="24"/>
        </w:rPr>
        <w:lastRenderedPageBreak/>
        <w:t>Une analyse de corrélation a été réalisée afin d’évaluer les relations entre les différents paramètres biologiques et le score de Glasgow (GSC), dans le but d’identifier les facteurs associés à l’altération de l’état de conscience.</w:t>
      </w:r>
    </w:p>
    <w:p w14:paraId="2ADFEB87" w14:textId="77777777" w:rsidR="005E741F" w:rsidRPr="005E741F" w:rsidRDefault="005E741F" w:rsidP="005E741F">
      <w:pPr>
        <w:spacing w:line="360" w:lineRule="auto"/>
        <w:ind w:firstLine="708"/>
        <w:jc w:val="both"/>
        <w:rPr>
          <w:rFonts w:asciiTheme="minorBidi" w:hAnsiTheme="minorBidi"/>
          <w:sz w:val="24"/>
          <w:szCs w:val="24"/>
        </w:rPr>
      </w:pPr>
      <w:r w:rsidRPr="005E741F">
        <w:rPr>
          <w:rFonts w:asciiTheme="minorBidi" w:hAnsiTheme="minorBidi"/>
          <w:sz w:val="24"/>
          <w:szCs w:val="24"/>
        </w:rPr>
        <w:t>Les résultats montrent une forte corrélation positive entre le trou anionique et le score de Glasgow (r = 0,71). Le sodium (Na</w:t>
      </w:r>
      <w:r w:rsidRPr="005E741F">
        <w:rPr>
          <w:rFonts w:ascii="Cambria Math" w:hAnsi="Cambria Math" w:cs="Cambria Math"/>
          <w:sz w:val="24"/>
          <w:szCs w:val="24"/>
        </w:rPr>
        <w:t>⁺</w:t>
      </w:r>
      <w:r w:rsidRPr="005E741F">
        <w:rPr>
          <w:rFonts w:asciiTheme="minorBidi" w:hAnsiTheme="minorBidi"/>
          <w:sz w:val="24"/>
          <w:szCs w:val="24"/>
        </w:rPr>
        <w:t>) pr</w:t>
      </w:r>
      <w:r w:rsidRPr="005E741F">
        <w:rPr>
          <w:rFonts w:ascii="Arial" w:hAnsi="Arial" w:cs="Arial"/>
          <w:sz w:val="24"/>
          <w:szCs w:val="24"/>
        </w:rPr>
        <w:t>é</w:t>
      </w:r>
      <w:r w:rsidRPr="005E741F">
        <w:rPr>
          <w:rFonts w:asciiTheme="minorBidi" w:hAnsiTheme="minorBidi"/>
          <w:sz w:val="24"/>
          <w:szCs w:val="24"/>
        </w:rPr>
        <w:t xml:space="preserve">sente </w:t>
      </w:r>
      <w:r w:rsidRPr="005E741F">
        <w:rPr>
          <w:rFonts w:ascii="Arial" w:hAnsi="Arial" w:cs="Arial"/>
          <w:sz w:val="24"/>
          <w:szCs w:val="24"/>
        </w:rPr>
        <w:t>é</w:t>
      </w:r>
      <w:r w:rsidRPr="005E741F">
        <w:rPr>
          <w:rFonts w:asciiTheme="minorBidi" w:hAnsiTheme="minorBidi"/>
          <w:sz w:val="24"/>
          <w:szCs w:val="24"/>
        </w:rPr>
        <w:t>galement une corr</w:t>
      </w:r>
      <w:r w:rsidRPr="005E741F">
        <w:rPr>
          <w:rFonts w:ascii="Arial" w:hAnsi="Arial" w:cs="Arial"/>
          <w:sz w:val="24"/>
          <w:szCs w:val="24"/>
        </w:rPr>
        <w:t>é</w:t>
      </w:r>
      <w:r w:rsidRPr="005E741F">
        <w:rPr>
          <w:rFonts w:asciiTheme="minorBidi" w:hAnsiTheme="minorBidi"/>
          <w:sz w:val="24"/>
          <w:szCs w:val="24"/>
        </w:rPr>
        <w:t>lation positive importante avec le GSC (r = 0,76), tandis que l</w:t>
      </w:r>
      <w:r w:rsidRPr="005E741F">
        <w:rPr>
          <w:rFonts w:ascii="Arial" w:hAnsi="Arial" w:cs="Arial"/>
          <w:sz w:val="24"/>
          <w:szCs w:val="24"/>
        </w:rPr>
        <w:t>’</w:t>
      </w:r>
      <w:r w:rsidRPr="005E741F">
        <w:rPr>
          <w:rFonts w:asciiTheme="minorBidi" w:hAnsiTheme="minorBidi"/>
          <w:sz w:val="24"/>
          <w:szCs w:val="24"/>
        </w:rPr>
        <w:t>osmolarit</w:t>
      </w:r>
      <w:r w:rsidRPr="005E741F">
        <w:rPr>
          <w:rFonts w:ascii="Arial" w:hAnsi="Arial" w:cs="Arial"/>
          <w:sz w:val="24"/>
          <w:szCs w:val="24"/>
        </w:rPr>
        <w:t>é</w:t>
      </w:r>
      <w:r w:rsidRPr="005E741F">
        <w:rPr>
          <w:rFonts w:asciiTheme="minorBidi" w:hAnsiTheme="minorBidi"/>
          <w:sz w:val="24"/>
          <w:szCs w:val="24"/>
        </w:rPr>
        <w:t xml:space="preserve"> montre une corr</w:t>
      </w:r>
      <w:r w:rsidRPr="005E741F">
        <w:rPr>
          <w:rFonts w:ascii="Arial" w:hAnsi="Arial" w:cs="Arial"/>
          <w:sz w:val="24"/>
          <w:szCs w:val="24"/>
        </w:rPr>
        <w:t>é</w:t>
      </w:r>
      <w:r w:rsidRPr="005E741F">
        <w:rPr>
          <w:rFonts w:asciiTheme="minorBidi" w:hAnsiTheme="minorBidi"/>
          <w:sz w:val="24"/>
          <w:szCs w:val="24"/>
        </w:rPr>
        <w:t>lation positive mod</w:t>
      </w:r>
      <w:r w:rsidRPr="005E741F">
        <w:rPr>
          <w:rFonts w:ascii="Arial" w:hAnsi="Arial" w:cs="Arial"/>
          <w:sz w:val="24"/>
          <w:szCs w:val="24"/>
        </w:rPr>
        <w:t>é</w:t>
      </w:r>
      <w:r w:rsidRPr="005E741F">
        <w:rPr>
          <w:rFonts w:asciiTheme="minorBidi" w:hAnsiTheme="minorBidi"/>
          <w:sz w:val="24"/>
          <w:szCs w:val="24"/>
        </w:rPr>
        <w:t>r</w:t>
      </w:r>
      <w:r w:rsidRPr="005E741F">
        <w:rPr>
          <w:rFonts w:ascii="Arial" w:hAnsi="Arial" w:cs="Arial"/>
          <w:sz w:val="24"/>
          <w:szCs w:val="24"/>
        </w:rPr>
        <w:t>é</w:t>
      </w:r>
      <w:r w:rsidRPr="005E741F">
        <w:rPr>
          <w:rFonts w:asciiTheme="minorBidi" w:hAnsiTheme="minorBidi"/>
          <w:sz w:val="24"/>
          <w:szCs w:val="24"/>
        </w:rPr>
        <w:t xml:space="preserve">e </w:t>
      </w:r>
      <w:r w:rsidRPr="005E741F">
        <w:rPr>
          <w:rFonts w:ascii="Arial" w:hAnsi="Arial" w:cs="Arial"/>
          <w:sz w:val="24"/>
          <w:szCs w:val="24"/>
        </w:rPr>
        <w:t>à</w:t>
      </w:r>
      <w:r w:rsidRPr="005E741F">
        <w:rPr>
          <w:rFonts w:asciiTheme="minorBidi" w:hAnsiTheme="minorBidi"/>
          <w:sz w:val="24"/>
          <w:szCs w:val="24"/>
        </w:rPr>
        <w:t xml:space="preserve"> forte (r = 0,69). Ces r</w:t>
      </w:r>
      <w:r w:rsidRPr="005E741F">
        <w:rPr>
          <w:rFonts w:ascii="Arial" w:hAnsi="Arial" w:cs="Arial"/>
          <w:sz w:val="24"/>
          <w:szCs w:val="24"/>
        </w:rPr>
        <w:t>é</w:t>
      </w:r>
      <w:r w:rsidRPr="005E741F">
        <w:rPr>
          <w:rFonts w:asciiTheme="minorBidi" w:hAnsiTheme="minorBidi"/>
          <w:sz w:val="24"/>
          <w:szCs w:val="24"/>
        </w:rPr>
        <w:t>sultats sugg</w:t>
      </w:r>
      <w:r w:rsidRPr="005E741F">
        <w:rPr>
          <w:rFonts w:ascii="Arial" w:hAnsi="Arial" w:cs="Arial"/>
          <w:sz w:val="24"/>
          <w:szCs w:val="24"/>
        </w:rPr>
        <w:t>è</w:t>
      </w:r>
      <w:r w:rsidRPr="005E741F">
        <w:rPr>
          <w:rFonts w:asciiTheme="minorBidi" w:hAnsiTheme="minorBidi"/>
          <w:sz w:val="24"/>
          <w:szCs w:val="24"/>
        </w:rPr>
        <w:t>rent l</w:t>
      </w:r>
      <w:r w:rsidRPr="005E741F">
        <w:rPr>
          <w:rFonts w:ascii="Arial" w:hAnsi="Arial" w:cs="Arial"/>
          <w:sz w:val="24"/>
          <w:szCs w:val="24"/>
        </w:rPr>
        <w:t>’</w:t>
      </w:r>
      <w:r w:rsidRPr="005E741F">
        <w:rPr>
          <w:rFonts w:asciiTheme="minorBidi" w:hAnsiTheme="minorBidi"/>
          <w:sz w:val="24"/>
          <w:szCs w:val="24"/>
        </w:rPr>
        <w:t>implication des d</w:t>
      </w:r>
      <w:r w:rsidRPr="005E741F">
        <w:rPr>
          <w:rFonts w:ascii="Arial" w:hAnsi="Arial" w:cs="Arial"/>
          <w:sz w:val="24"/>
          <w:szCs w:val="24"/>
        </w:rPr>
        <w:t>é</w:t>
      </w:r>
      <w:r w:rsidRPr="005E741F">
        <w:rPr>
          <w:rFonts w:asciiTheme="minorBidi" w:hAnsiTheme="minorBidi"/>
          <w:sz w:val="24"/>
          <w:szCs w:val="24"/>
        </w:rPr>
        <w:t>s</w:t>
      </w:r>
      <w:r w:rsidRPr="005E741F">
        <w:rPr>
          <w:rFonts w:ascii="Arial" w:hAnsi="Arial" w:cs="Arial"/>
          <w:sz w:val="24"/>
          <w:szCs w:val="24"/>
        </w:rPr>
        <w:t>é</w:t>
      </w:r>
      <w:r w:rsidRPr="005E741F">
        <w:rPr>
          <w:rFonts w:asciiTheme="minorBidi" w:hAnsiTheme="minorBidi"/>
          <w:sz w:val="24"/>
          <w:szCs w:val="24"/>
        </w:rPr>
        <w:t>quilibres m</w:t>
      </w:r>
      <w:r w:rsidRPr="005E741F">
        <w:rPr>
          <w:rFonts w:ascii="Arial" w:hAnsi="Arial" w:cs="Arial"/>
          <w:sz w:val="24"/>
          <w:szCs w:val="24"/>
        </w:rPr>
        <w:t>é</w:t>
      </w:r>
      <w:r w:rsidRPr="005E741F">
        <w:rPr>
          <w:rFonts w:asciiTheme="minorBidi" w:hAnsiTheme="minorBidi"/>
          <w:sz w:val="24"/>
          <w:szCs w:val="24"/>
        </w:rPr>
        <w:t>taboliques et hydro</w:t>
      </w:r>
      <w:r w:rsidRPr="005E741F">
        <w:rPr>
          <w:rFonts w:ascii="Arial" w:hAnsi="Arial" w:cs="Arial"/>
          <w:sz w:val="24"/>
          <w:szCs w:val="24"/>
        </w:rPr>
        <w:t>é</w:t>
      </w:r>
      <w:r w:rsidRPr="005E741F">
        <w:rPr>
          <w:rFonts w:asciiTheme="minorBidi" w:hAnsiTheme="minorBidi"/>
          <w:sz w:val="24"/>
          <w:szCs w:val="24"/>
        </w:rPr>
        <w:t>lectrolytiques dans les troubles neurologiques observ</w:t>
      </w:r>
      <w:r w:rsidRPr="005E741F">
        <w:rPr>
          <w:rFonts w:ascii="Arial" w:hAnsi="Arial" w:cs="Arial"/>
          <w:sz w:val="24"/>
          <w:szCs w:val="24"/>
        </w:rPr>
        <w:t>é</w:t>
      </w:r>
      <w:r w:rsidRPr="005E741F">
        <w:rPr>
          <w:rFonts w:asciiTheme="minorBidi" w:hAnsiTheme="minorBidi"/>
          <w:sz w:val="24"/>
          <w:szCs w:val="24"/>
        </w:rPr>
        <w:t>s au cours de l</w:t>
      </w:r>
      <w:r w:rsidRPr="005E741F">
        <w:rPr>
          <w:rFonts w:ascii="Arial" w:hAnsi="Arial" w:cs="Arial"/>
          <w:sz w:val="24"/>
          <w:szCs w:val="24"/>
        </w:rPr>
        <w:t>’</w:t>
      </w:r>
      <w:r w:rsidRPr="005E741F">
        <w:rPr>
          <w:rFonts w:asciiTheme="minorBidi" w:hAnsiTheme="minorBidi"/>
          <w:sz w:val="24"/>
          <w:szCs w:val="24"/>
        </w:rPr>
        <w:t>acidoc</w:t>
      </w:r>
      <w:r w:rsidRPr="005E741F">
        <w:rPr>
          <w:rFonts w:ascii="Arial" w:hAnsi="Arial" w:cs="Arial"/>
          <w:sz w:val="24"/>
          <w:szCs w:val="24"/>
        </w:rPr>
        <w:t>é</w:t>
      </w:r>
      <w:r w:rsidRPr="005E741F">
        <w:rPr>
          <w:rFonts w:asciiTheme="minorBidi" w:hAnsiTheme="minorBidi"/>
          <w:sz w:val="24"/>
          <w:szCs w:val="24"/>
        </w:rPr>
        <w:t>tose diab</w:t>
      </w:r>
      <w:r w:rsidRPr="005E741F">
        <w:rPr>
          <w:rFonts w:ascii="Arial" w:hAnsi="Arial" w:cs="Arial"/>
          <w:sz w:val="24"/>
          <w:szCs w:val="24"/>
        </w:rPr>
        <w:t>é</w:t>
      </w:r>
      <w:r w:rsidRPr="005E741F">
        <w:rPr>
          <w:rFonts w:asciiTheme="minorBidi" w:hAnsiTheme="minorBidi"/>
          <w:sz w:val="24"/>
          <w:szCs w:val="24"/>
        </w:rPr>
        <w:t>tique.</w:t>
      </w:r>
    </w:p>
    <w:p w14:paraId="6B5B766D" w14:textId="77777777" w:rsidR="005E741F" w:rsidRPr="005E741F" w:rsidRDefault="005E741F" w:rsidP="005E741F">
      <w:pPr>
        <w:spacing w:line="360" w:lineRule="auto"/>
        <w:ind w:firstLine="708"/>
        <w:jc w:val="both"/>
        <w:rPr>
          <w:rFonts w:asciiTheme="minorBidi" w:hAnsiTheme="minorBidi"/>
          <w:sz w:val="24"/>
          <w:szCs w:val="24"/>
        </w:rPr>
      </w:pPr>
      <w:r w:rsidRPr="005E741F">
        <w:rPr>
          <w:rFonts w:asciiTheme="minorBidi" w:hAnsiTheme="minorBidi"/>
          <w:sz w:val="24"/>
          <w:szCs w:val="24"/>
        </w:rPr>
        <w:t>Par ailleurs, la diurèse présente une forte corrélation positive avec le GSC (r = 0,89), indiquant qu’une meilleure diurèse pourrait être associée à un état neurologique moins altéré. Le bicarbonate (HCO3</w:t>
      </w:r>
      <w:r w:rsidRPr="005E741F">
        <w:rPr>
          <w:rFonts w:ascii="Cambria Math" w:hAnsi="Cambria Math" w:cs="Cambria Math"/>
          <w:sz w:val="24"/>
          <w:szCs w:val="24"/>
        </w:rPr>
        <w:t>⁻</w:t>
      </w:r>
      <w:r w:rsidRPr="005E741F">
        <w:rPr>
          <w:rFonts w:asciiTheme="minorBidi" w:hAnsiTheme="minorBidi"/>
          <w:sz w:val="24"/>
          <w:szCs w:val="24"/>
        </w:rPr>
        <w:t xml:space="preserve">) ainsi que le pH montrent </w:t>
      </w:r>
      <w:r w:rsidRPr="005E741F">
        <w:rPr>
          <w:rFonts w:ascii="Arial" w:hAnsi="Arial" w:cs="Arial"/>
          <w:sz w:val="24"/>
          <w:szCs w:val="24"/>
        </w:rPr>
        <w:t>é</w:t>
      </w:r>
      <w:r w:rsidRPr="005E741F">
        <w:rPr>
          <w:rFonts w:asciiTheme="minorBidi" w:hAnsiTheme="minorBidi"/>
          <w:sz w:val="24"/>
          <w:szCs w:val="24"/>
        </w:rPr>
        <w:t>galement des corr</w:t>
      </w:r>
      <w:r w:rsidRPr="005E741F">
        <w:rPr>
          <w:rFonts w:ascii="Arial" w:hAnsi="Arial" w:cs="Arial"/>
          <w:sz w:val="24"/>
          <w:szCs w:val="24"/>
        </w:rPr>
        <w:t>é</w:t>
      </w:r>
      <w:r w:rsidRPr="005E741F">
        <w:rPr>
          <w:rFonts w:asciiTheme="minorBidi" w:hAnsiTheme="minorBidi"/>
          <w:sz w:val="24"/>
          <w:szCs w:val="24"/>
        </w:rPr>
        <w:t>lations positives faibles avec le GSC, avec des coefficients respectifs de r = 0,35 et r = 0,22.</w:t>
      </w:r>
    </w:p>
    <w:p w14:paraId="2EDB3261" w14:textId="77777777" w:rsidR="005E741F" w:rsidRPr="005E741F" w:rsidRDefault="005E741F" w:rsidP="005E741F">
      <w:pPr>
        <w:spacing w:line="360" w:lineRule="auto"/>
        <w:ind w:firstLine="708"/>
        <w:jc w:val="both"/>
        <w:rPr>
          <w:rFonts w:asciiTheme="minorBidi" w:hAnsiTheme="minorBidi"/>
          <w:sz w:val="24"/>
          <w:szCs w:val="24"/>
        </w:rPr>
      </w:pPr>
      <w:r w:rsidRPr="005E741F">
        <w:rPr>
          <w:rFonts w:asciiTheme="minorBidi" w:hAnsiTheme="minorBidi"/>
          <w:sz w:val="24"/>
          <w:szCs w:val="24"/>
        </w:rPr>
        <w:t>En revanche, le chlore (Cl</w:t>
      </w:r>
      <w:r w:rsidRPr="005E741F">
        <w:rPr>
          <w:rFonts w:ascii="Cambria Math" w:hAnsi="Cambria Math" w:cs="Cambria Math"/>
          <w:sz w:val="24"/>
          <w:szCs w:val="24"/>
        </w:rPr>
        <w:t>⁻</w:t>
      </w:r>
      <w:r w:rsidRPr="005E741F">
        <w:rPr>
          <w:rFonts w:asciiTheme="minorBidi" w:hAnsiTheme="minorBidi"/>
          <w:sz w:val="24"/>
          <w:szCs w:val="24"/>
        </w:rPr>
        <w:t>), le potassium (K</w:t>
      </w:r>
      <w:r w:rsidRPr="005E741F">
        <w:rPr>
          <w:rFonts w:ascii="Cambria Math" w:hAnsi="Cambria Math" w:cs="Cambria Math"/>
          <w:sz w:val="24"/>
          <w:szCs w:val="24"/>
        </w:rPr>
        <w:t>⁺</w:t>
      </w:r>
      <w:r w:rsidRPr="005E741F">
        <w:rPr>
          <w:rFonts w:asciiTheme="minorBidi" w:hAnsiTheme="minorBidi"/>
          <w:sz w:val="24"/>
          <w:szCs w:val="24"/>
        </w:rPr>
        <w:t>) ainsi que la c</w:t>
      </w:r>
      <w:r w:rsidRPr="005E741F">
        <w:rPr>
          <w:rFonts w:ascii="Arial" w:hAnsi="Arial" w:cs="Arial"/>
          <w:sz w:val="24"/>
          <w:szCs w:val="24"/>
        </w:rPr>
        <w:t>é</w:t>
      </w:r>
      <w:r w:rsidRPr="005E741F">
        <w:rPr>
          <w:rFonts w:asciiTheme="minorBidi" w:hAnsiTheme="minorBidi"/>
          <w:sz w:val="24"/>
          <w:szCs w:val="24"/>
        </w:rPr>
        <w:t>tonurie pr</w:t>
      </w:r>
      <w:r w:rsidRPr="005E741F">
        <w:rPr>
          <w:rFonts w:ascii="Arial" w:hAnsi="Arial" w:cs="Arial"/>
          <w:sz w:val="24"/>
          <w:szCs w:val="24"/>
        </w:rPr>
        <w:t>é</w:t>
      </w:r>
      <w:r w:rsidRPr="005E741F">
        <w:rPr>
          <w:rFonts w:asciiTheme="minorBidi" w:hAnsiTheme="minorBidi"/>
          <w:sz w:val="24"/>
          <w:szCs w:val="24"/>
        </w:rPr>
        <w:t>sentent des corr</w:t>
      </w:r>
      <w:r w:rsidRPr="005E741F">
        <w:rPr>
          <w:rFonts w:ascii="Arial" w:hAnsi="Arial" w:cs="Arial"/>
          <w:sz w:val="24"/>
          <w:szCs w:val="24"/>
        </w:rPr>
        <w:t>é</w:t>
      </w:r>
      <w:r w:rsidRPr="005E741F">
        <w:rPr>
          <w:rFonts w:asciiTheme="minorBidi" w:hAnsiTheme="minorBidi"/>
          <w:sz w:val="24"/>
          <w:szCs w:val="24"/>
        </w:rPr>
        <w:t>lations n</w:t>
      </w:r>
      <w:r w:rsidRPr="005E741F">
        <w:rPr>
          <w:rFonts w:ascii="Arial" w:hAnsi="Arial" w:cs="Arial"/>
          <w:sz w:val="24"/>
          <w:szCs w:val="24"/>
        </w:rPr>
        <w:t>é</w:t>
      </w:r>
      <w:r w:rsidRPr="005E741F">
        <w:rPr>
          <w:rFonts w:asciiTheme="minorBidi" w:hAnsiTheme="minorBidi"/>
          <w:sz w:val="24"/>
          <w:szCs w:val="24"/>
        </w:rPr>
        <w:t xml:space="preserve">gatives avec le score de Glasgow, bien que celles-ci demeurent faibles </w:t>
      </w:r>
      <w:r w:rsidRPr="005E741F">
        <w:rPr>
          <w:rFonts w:ascii="Arial" w:hAnsi="Arial" w:cs="Arial"/>
          <w:sz w:val="24"/>
          <w:szCs w:val="24"/>
        </w:rPr>
        <w:t>à</w:t>
      </w:r>
      <w:r w:rsidRPr="005E741F">
        <w:rPr>
          <w:rFonts w:asciiTheme="minorBidi" w:hAnsiTheme="minorBidi"/>
          <w:sz w:val="24"/>
          <w:szCs w:val="24"/>
        </w:rPr>
        <w:t xml:space="preserve"> mod</w:t>
      </w:r>
      <w:r w:rsidRPr="005E741F">
        <w:rPr>
          <w:rFonts w:ascii="Arial" w:hAnsi="Arial" w:cs="Arial"/>
          <w:sz w:val="24"/>
          <w:szCs w:val="24"/>
        </w:rPr>
        <w:t>é</w:t>
      </w:r>
      <w:r w:rsidRPr="005E741F">
        <w:rPr>
          <w:rFonts w:asciiTheme="minorBidi" w:hAnsiTheme="minorBidi"/>
          <w:sz w:val="24"/>
          <w:szCs w:val="24"/>
        </w:rPr>
        <w:t>r</w:t>
      </w:r>
      <w:r w:rsidRPr="005E741F">
        <w:rPr>
          <w:rFonts w:ascii="Arial" w:hAnsi="Arial" w:cs="Arial"/>
          <w:sz w:val="24"/>
          <w:szCs w:val="24"/>
        </w:rPr>
        <w:t>é</w:t>
      </w:r>
      <w:r w:rsidRPr="005E741F">
        <w:rPr>
          <w:rFonts w:asciiTheme="minorBidi" w:hAnsiTheme="minorBidi"/>
          <w:sz w:val="24"/>
          <w:szCs w:val="24"/>
        </w:rPr>
        <w:t>es. Le lactate et la glyc</w:t>
      </w:r>
      <w:r w:rsidRPr="005E741F">
        <w:rPr>
          <w:rFonts w:ascii="Arial" w:hAnsi="Arial" w:cs="Arial"/>
          <w:sz w:val="24"/>
          <w:szCs w:val="24"/>
        </w:rPr>
        <w:t>é</w:t>
      </w:r>
      <w:r w:rsidRPr="005E741F">
        <w:rPr>
          <w:rFonts w:asciiTheme="minorBidi" w:hAnsiTheme="minorBidi"/>
          <w:sz w:val="24"/>
          <w:szCs w:val="24"/>
        </w:rPr>
        <w:t xml:space="preserve">mie montrent quant </w:t>
      </w:r>
      <w:r w:rsidRPr="005E741F">
        <w:rPr>
          <w:rFonts w:ascii="Arial" w:hAnsi="Arial" w:cs="Arial"/>
          <w:sz w:val="24"/>
          <w:szCs w:val="24"/>
        </w:rPr>
        <w:t>à</w:t>
      </w:r>
      <w:r w:rsidRPr="005E741F">
        <w:rPr>
          <w:rFonts w:asciiTheme="minorBidi" w:hAnsiTheme="minorBidi"/>
          <w:sz w:val="24"/>
          <w:szCs w:val="24"/>
        </w:rPr>
        <w:t xml:space="preserve"> eux des corr</w:t>
      </w:r>
      <w:r w:rsidRPr="005E741F">
        <w:rPr>
          <w:rFonts w:ascii="Arial" w:hAnsi="Arial" w:cs="Arial"/>
          <w:sz w:val="24"/>
          <w:szCs w:val="24"/>
        </w:rPr>
        <w:t>é</w:t>
      </w:r>
      <w:r w:rsidRPr="005E741F">
        <w:rPr>
          <w:rFonts w:asciiTheme="minorBidi" w:hAnsiTheme="minorBidi"/>
          <w:sz w:val="24"/>
          <w:szCs w:val="24"/>
        </w:rPr>
        <w:t>lations faibles avec le GSC.</w:t>
      </w:r>
    </w:p>
    <w:p w14:paraId="2A28739A" w14:textId="069A7ACD" w:rsidR="005E741F" w:rsidRPr="005E741F" w:rsidRDefault="005E741F" w:rsidP="005E741F">
      <w:pPr>
        <w:spacing w:line="360" w:lineRule="auto"/>
        <w:ind w:firstLine="708"/>
        <w:jc w:val="both"/>
        <w:rPr>
          <w:rFonts w:asciiTheme="minorBidi" w:hAnsiTheme="minorBidi"/>
          <w:sz w:val="24"/>
          <w:szCs w:val="24"/>
        </w:rPr>
      </w:pPr>
      <w:r>
        <w:rPr>
          <w:rFonts w:asciiTheme="minorBidi" w:hAnsiTheme="minorBidi"/>
          <w:sz w:val="24"/>
          <w:szCs w:val="24"/>
        </w:rPr>
        <w:t xml:space="preserve">Ces </w:t>
      </w:r>
      <w:r w:rsidRPr="005E741F">
        <w:rPr>
          <w:rFonts w:asciiTheme="minorBidi" w:hAnsiTheme="minorBidi"/>
          <w:sz w:val="24"/>
          <w:szCs w:val="24"/>
        </w:rPr>
        <w:t>résultats mettent en évidence le rôle des déséquilibres métaboliques, de l’hyperosmolarité et des perturbations hydroélectrolytiques dans l’altération de l’état neurologique observée au cours de l’acidocétose diabétique.</w:t>
      </w:r>
    </w:p>
    <w:p w14:paraId="2189741E" w14:textId="6F65BC99" w:rsidR="00502BB2" w:rsidRDefault="00502BB2">
      <w:pPr>
        <w:spacing w:line="360" w:lineRule="auto"/>
        <w:ind w:firstLine="708"/>
        <w:jc w:val="both"/>
        <w:rPr>
          <w:rFonts w:asciiTheme="minorBidi" w:hAnsiTheme="minorBidi"/>
          <w:sz w:val="24"/>
          <w:szCs w:val="24"/>
        </w:rPr>
        <w:sectPr w:rsidR="00502BB2">
          <w:headerReference w:type="default" r:id="rId155"/>
          <w:footerReference w:type="default" r:id="rId156"/>
          <w:pgSz w:w="12240" w:h="15840"/>
          <w:pgMar w:top="1417" w:right="1417" w:bottom="1417" w:left="1417" w:header="720" w:footer="720" w:gutter="0"/>
          <w:cols w:space="720"/>
        </w:sectPr>
      </w:pPr>
    </w:p>
    <w:p w14:paraId="3138570D" w14:textId="77777777" w:rsidR="00502BB2" w:rsidRDefault="00502BB2">
      <w:pPr>
        <w:spacing w:line="360" w:lineRule="auto"/>
        <w:ind w:firstLine="708"/>
        <w:jc w:val="both"/>
        <w:rPr>
          <w:rFonts w:asciiTheme="minorBidi" w:hAnsiTheme="minorBidi"/>
          <w:sz w:val="24"/>
          <w:szCs w:val="24"/>
        </w:rPr>
      </w:pPr>
    </w:p>
    <w:p w14:paraId="59705162" w14:textId="77777777" w:rsidR="00502BB2" w:rsidRDefault="00502BB2">
      <w:pPr>
        <w:rPr>
          <w:rFonts w:asciiTheme="minorBidi" w:hAnsiTheme="minorBidi"/>
          <w:sz w:val="24"/>
          <w:szCs w:val="24"/>
        </w:rPr>
      </w:pPr>
    </w:p>
    <w:p w14:paraId="44EEF744" w14:textId="77777777" w:rsidR="00502BB2" w:rsidRDefault="00502BB2">
      <w:pPr>
        <w:rPr>
          <w:rFonts w:asciiTheme="minorBidi" w:hAnsiTheme="minorBidi"/>
          <w:sz w:val="24"/>
          <w:szCs w:val="24"/>
        </w:rPr>
      </w:pPr>
    </w:p>
    <w:p w14:paraId="1E90BD4D" w14:textId="77777777" w:rsidR="00502BB2" w:rsidRDefault="00502BB2">
      <w:pPr>
        <w:rPr>
          <w:rFonts w:asciiTheme="minorBidi" w:hAnsiTheme="minorBidi"/>
          <w:sz w:val="24"/>
          <w:szCs w:val="24"/>
        </w:rPr>
      </w:pPr>
    </w:p>
    <w:p w14:paraId="31BB0565" w14:textId="77777777" w:rsidR="00502BB2" w:rsidRDefault="00502BB2">
      <w:pPr>
        <w:rPr>
          <w:rFonts w:asciiTheme="minorBidi" w:hAnsiTheme="minorBidi"/>
          <w:sz w:val="24"/>
          <w:szCs w:val="24"/>
        </w:rPr>
      </w:pPr>
    </w:p>
    <w:p w14:paraId="6ECAC609" w14:textId="77777777" w:rsidR="00502BB2" w:rsidRDefault="00502BB2">
      <w:pPr>
        <w:rPr>
          <w:rFonts w:asciiTheme="minorBidi" w:hAnsiTheme="minorBidi"/>
          <w:sz w:val="24"/>
          <w:szCs w:val="24"/>
        </w:rPr>
      </w:pPr>
    </w:p>
    <w:p w14:paraId="741C3902" w14:textId="77777777" w:rsidR="00502BB2" w:rsidRDefault="0069123E">
      <w:pPr>
        <w:rPr>
          <w:rFonts w:asciiTheme="minorBidi" w:hAnsiTheme="minorBidi"/>
          <w:sz w:val="24"/>
          <w:szCs w:val="24"/>
        </w:rPr>
      </w:pPr>
      <w:r>
        <w:rPr>
          <w:noProof/>
        </w:rPr>
        <mc:AlternateContent>
          <mc:Choice Requires="wps">
            <w:drawing>
              <wp:anchor distT="0" distB="0" distL="114300" distR="114300" simplePos="0" relativeHeight="251697152" behindDoc="0" locked="0" layoutInCell="1" allowOverlap="1" wp14:anchorId="3FFA571C" wp14:editId="01EC971F">
                <wp:simplePos x="0" y="0"/>
                <wp:positionH relativeFrom="margin">
                  <wp:align>right</wp:align>
                </wp:positionH>
                <wp:positionV relativeFrom="paragraph">
                  <wp:posOffset>18415</wp:posOffset>
                </wp:positionV>
                <wp:extent cx="5372100" cy="3166110"/>
                <wp:effectExtent l="895350" t="0" r="19050" b="777240"/>
                <wp:wrapNone/>
                <wp:docPr id="245251711" name="Callout: Double Bent Line with No Border 23"/>
                <wp:cNvGraphicFramePr/>
                <a:graphic xmlns:a="http://schemas.openxmlformats.org/drawingml/2006/main">
                  <a:graphicData uri="http://schemas.microsoft.com/office/word/2010/wordprocessingShape">
                    <wps:wsp>
                      <wps:cNvSpPr/>
                      <wps:spPr>
                        <a:xfrm>
                          <a:off x="0" y="0"/>
                          <a:ext cx="5372100" cy="3166110"/>
                        </a:xfrm>
                        <a:prstGeom prst="callout3">
                          <a:avLst>
                            <a:gd name="adj1" fmla="val 18750"/>
                            <a:gd name="adj2" fmla="val -2801"/>
                            <a:gd name="adj3" fmla="val 18750"/>
                            <a:gd name="adj4" fmla="val -16667"/>
                            <a:gd name="adj5" fmla="val 100000"/>
                            <a:gd name="adj6" fmla="val -16667"/>
                            <a:gd name="adj7" fmla="val 123793"/>
                            <a:gd name="adj8" fmla="val -3014"/>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headEnd type="none" w="med" len="med"/>
                          <a:tailEnd type="none" w="med" len="med"/>
                        </a:ln>
                        <a:effectLst/>
                      </wps:spPr>
                      <wps:txbx>
                        <w:txbxContent>
                          <w:p w14:paraId="310813BA" w14:textId="77777777" w:rsidR="00502BB2" w:rsidRDefault="00502BB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3FFA571C" id="_x0000_s1051" type="#_x0000_t43" style="position:absolute;margin-left:371.8pt;margin-top:1.45pt;width:423pt;height:249.3pt;z-index:251697152;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wLIUQMAACMIAAAOAAAAZHJzL2Uyb0RvYy54bWysVctu2zgU3ReYfyC4TyxZfsWIUgRJMxgg&#10;bQKkg6wZirJY8KEh6dier+8hJduaJimCdryQKfLo8txzX+cft1qRZ+G8tKak+WlGiTDcVtKsSvr3&#10;15uTBSU+MFMxZY0o6U54+vHijw/nm3YpxraxqhKOwIjxy01b0iaEdjkaed4IzfypbYXBYW2dZgGv&#10;bjWqHNvAulajcZbNRhvrqtZZLrzH7nV3SC+S/boWPNzVtReBqJKCW0hPl55P8Tm6OGfLlWNtI3lP&#10;g/0CC82kwaUHU9csMLJ28oUpLbmz3tbhlFs9snUtuUg+wJs8+8Gbh4a1IvkCcXx7kMn/f2b5l+eH&#10;9t5Bhk3rlx7L6MW2djr+gx/ZJrF2B7HENhCOzWkxH+cZNOU4K/LZLM+TnKPj563z4U9hNYmLknKm&#10;lF2HIgnFnm99SIpVxDCN1GDVt5ySWisE4Jkpki/m032ABpjxEHMyXmR5H8QBphhi3rAzGWJOwH82&#10;f2loOgTBW/xegmZD0FuW5kNQPi7mZ8VLSyiWo/8nRZZPIgaK9mphtde0T7bqRipFnA2PMjQpX1CF&#10;XSb6vcCetBYpk6Vtv/NXyhEIXFLUUWU3XxFRShTzAQeAdV5G+2qtP9uqwyK6B+c9C8f9bHrYD9KE&#10;Dj2b95tg3N2Y3Fj5RLsnFD/8TVKDy/9LqniF1Hy/+TNSfZAjz1+W6k1WZ6+wWsQb+zD/IBV4rvZR&#10;VNIQFpvqdAJ8rDuPehJVX5cR6ljKhhQ5QzYlnRUoIMIZ+mqtGILMdYsPvFlRwtQKDZsH12WFVfLw&#10;8Xv97lLTDz+N2XnNfNNlQTrqslzLgD6vpC7pouOfOm8jWPXJVCTsWnQAgxFBI3EtKmSkAMG4SsjA&#10;pHoPEkIoEyUQqfujBiLNY3OLq7B92hIJJcbTaDxuPdlqd+9iIUVBiW/5jYQvt6iKe+bQkbCJMRfu&#10;8KiVBUfbryhprPv3tf2IR6fGKZzCiIHy/6yZg4vqL4OCPMsnE5gN6WUynY/x4oYnT8MTs9ZXFkWL&#10;Hgl2aRnxQe2XtbP6EdPwMt6KI2Y47u5i3L9chW70YZ5ycXmZYJhDLQu35qHl+9Zh7OU62FoepOvU&#10;6XXEJOqKuZuacdQN3xPqONsvvgMAAP//AwBQSwMEFAAGAAgAAAAhAKCRdxvcAAAABgEAAA8AAABk&#10;cnMvZG93bnJldi54bWxMj8FOwzAQRO9I/IO1SFwQdVLREkI2FaKCS1Uh2n6AG2+TiHgdxW4a/p7l&#10;BMfRjGbeFKvJdWqkIbSeEdJZAoq48rblGuGwf7vPQIVo2JrOMyF8U4BVeX1VmNz6C3/SuIu1khIO&#10;uUFoYuxzrUPVkDNh5nti8U5+cCaKHGptB3ORctfpeZIstTMty0JjenptqPranR3CejPccf2Yfby7&#10;MWxSux63WXpCvL2ZXp5BRZriXxh+8QUdSmE6+jPboDoEORIR5k+gxMwelqKPCIskXYAuC/0fv/wB&#10;AAD//wMAUEsBAi0AFAAGAAgAAAAhALaDOJL+AAAA4QEAABMAAAAAAAAAAAAAAAAAAAAAAFtDb250&#10;ZW50X1R5cGVzXS54bWxQSwECLQAUAAYACAAAACEAOP0h/9YAAACUAQAACwAAAAAAAAAAAAAAAAAv&#10;AQAAX3JlbHMvLnJlbHNQSwECLQAUAAYACAAAACEATgMCyFEDAAAjCAAADgAAAAAAAAAAAAAAAAAu&#10;AgAAZHJzL2Uyb0RvYy54bWxQSwECLQAUAAYACAAAACEAoJF3G9wAAAAGAQAADwAAAAAAAAAAAAAA&#10;AACrBQAAZHJzL2Rvd25yZXYueG1sUEsFBgAAAAAEAAQA8wAAALQGAAAAAA==&#10;" adj="-651,26739,-3600,,-3600,,-605" fillcolor="#9b9b9b" strokecolor="windowText" strokeweight=".5pt">
                <v:fill color2="#797979" rotate="t" colors="0 #9b9b9b;.5 #8e8e8e;1 #797979" focus="100%" type="gradient">
                  <o:fill v:ext="view" type="gradientUnscaled"/>
                </v:fill>
                <v:textbox>
                  <w:txbxContent>
                    <w:p w14:paraId="310813BA" w14:textId="77777777" w:rsidR="00502BB2" w:rsidRDefault="00502BB2"/>
                  </w:txbxContent>
                </v:textbox>
                <o:callout v:ext="edit" minusx="t" minusy="t"/>
                <w10:wrap anchorx="margin"/>
              </v:shape>
            </w:pict>
          </mc:Fallback>
        </mc:AlternateContent>
      </w:r>
    </w:p>
    <w:p w14:paraId="79C3F7BC" w14:textId="77777777" w:rsidR="00502BB2" w:rsidRDefault="0069123E">
      <w:pPr>
        <w:rPr>
          <w:rFonts w:asciiTheme="minorBidi" w:hAnsiTheme="minorBidi"/>
          <w:sz w:val="24"/>
          <w:szCs w:val="24"/>
        </w:rPr>
      </w:pPr>
      <w:r>
        <w:rPr>
          <w:rFonts w:ascii="Times New Roman" w:hAnsi="Times New Roman" w:cs="Times New Roman"/>
          <w:noProof/>
          <w:kern w:val="0"/>
          <w:sz w:val="24"/>
          <w:szCs w:val="24"/>
          <w:lang w:eastAsia="fr-FR"/>
          <w14:ligatures w14:val="none"/>
        </w:rPr>
        <mc:AlternateContent>
          <mc:Choice Requires="wps">
            <w:drawing>
              <wp:anchor distT="0" distB="0" distL="114300" distR="114300" simplePos="0" relativeHeight="251698176" behindDoc="0" locked="0" layoutInCell="1" allowOverlap="1" wp14:anchorId="6C6E2F2A" wp14:editId="5A145339">
                <wp:simplePos x="0" y="0"/>
                <wp:positionH relativeFrom="margin">
                  <wp:posOffset>-177800</wp:posOffset>
                </wp:positionH>
                <wp:positionV relativeFrom="paragraph">
                  <wp:posOffset>158750</wp:posOffset>
                </wp:positionV>
                <wp:extent cx="6781800" cy="3520440"/>
                <wp:effectExtent l="0" t="0" r="0" b="3810"/>
                <wp:wrapNone/>
                <wp:docPr id="376448987" name="Text Box 32"/>
                <wp:cNvGraphicFramePr/>
                <a:graphic xmlns:a="http://schemas.openxmlformats.org/drawingml/2006/main">
                  <a:graphicData uri="http://schemas.microsoft.com/office/word/2010/wordprocessingShape">
                    <wps:wsp>
                      <wps:cNvSpPr txBox="1"/>
                      <wps:spPr>
                        <a:xfrm>
                          <a:off x="0" y="0"/>
                          <a:ext cx="6781800" cy="35204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271D696C"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Partie 4. Discussion</w:t>
                            </w:r>
                          </w:p>
                          <w:p w14:paraId="2E621499"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Générale </w:t>
                            </w:r>
                          </w:p>
                          <w:p w14:paraId="03BD0C8D" w14:textId="77777777" w:rsidR="00502BB2" w:rsidRDefault="00502BB2">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 w14:anchorId="6C6E2F2A" id="Text Box 32" o:spid="_x0000_s1052" type="#_x0000_t202" style="position:absolute;margin-left:-14pt;margin-top:12.5pt;width:534pt;height:277.2pt;z-index:251698176;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GkgUgIAAPYEAAAOAAAAZHJzL2Uyb0RvYy54bWysVE2P2jAQvVfqf7B8LwmUZSkirCgrqkqr&#10;7qq06tk4NrHqeFzbkNBfv2OHAN2etuolsed73pvx/K6tNTkI5xWYgg4HOSXCcCiV2RX0+7f1uykl&#10;PjBTMg1GFPQoPL1bvH0zb+xMjKACXQpHMIjxs8YWtArBzrLM80rUzA/ACoNKCa5mAa9ul5WONRi9&#10;1tkozydZA660DrjwHqX3nZIuUnwpBQ+PUnoRiC4o1hbS16XvNn6zxZzNdo7ZSvFTGewfqqiZMpj0&#10;HOqeBUb2Tv0VqlbcgQcZBhzqDKRUXKQesJth/qKbTcWsSL0gON6eYfL/Lyz/ctjYJ0dC+xFaJDAC&#10;0lg/8yiM/bTS1fGPlRLUI4THM2yiDYSjcHI7HU5zVHHUvb8Z5eNxAja7uFvnwycBNYmHgjrkJcHF&#10;Dg8+YEo07U1iNgNrpXXiRps/BGgYJdmlxnQKRy2inTZfhSSqTKVGgedut11pRzrOcSixzp75FAwd&#10;oqHEhK/0PblEb5FG7ZX+Z6eUH0w4+9fKgEsApUUQsYEDwxEufyaGsHDZ2fdQdABELEK7bRGBgo4m&#10;PZlbKI/IsYNu/L3la4U8PDAfnpjDeUdMcIfDI36khqagXCtLSQXu90tZtMPxQw0lDe5NQf2vPXOC&#10;Ev3Z4GB+GEb2SUiX8c3tCC/uWrO91ph9vQLsa4ivhOXpGO2D7o/SQf0DV3wZs6KKGY65Cxr64yp0&#10;zOITwcVymYxwtSwLD2ZjeQwd4TWw3AeQKg1bhKnD5AQfLleawdNDELf3+p6sLs/V4hkAAP//AwBQ&#10;SwMEFAAGAAgAAAAhAMdMZaTfAAAACwEAAA8AAABkcnMvZG93bnJldi54bWxMj81Ow0AMhO9IvMPK&#10;SNzaXaIE2hCnQiCuIMqPxG2buElE1htlt014e9wTPdnWjMbfFJvZ9epIY+g8I9wsDSjiytcdNwgf&#10;78+LFagQLde290wIvxRgU15eFDav/cRvdNzGRkkIh9witDEOudahasnZsPQDsWh7Pzob5RwbXY92&#10;knDX68SYW+1sx/KhtQM9tlT9bA8O4fNl//2VmtfmyWXD5Gej2a014vXV/HAPKtIc/81wwhd0KIVp&#10;5w9cB9UjLJKVdIkISSbzZDCpkW2HkN2tU9Bloc87lH8AAAD//wMAUEsBAi0AFAAGAAgAAAAhALaD&#10;OJL+AAAA4QEAABMAAAAAAAAAAAAAAAAAAAAAAFtDb250ZW50X1R5cGVzXS54bWxQSwECLQAUAAYA&#10;CAAAACEAOP0h/9YAAACUAQAACwAAAAAAAAAAAAAAAAAvAQAAX3JlbHMvLnJlbHNQSwECLQAUAAYA&#10;CAAAACEA2kxpIFICAAD2BAAADgAAAAAAAAAAAAAAAAAuAgAAZHJzL2Uyb0RvYy54bWxQSwECLQAU&#10;AAYACAAAACEAx0xlpN8AAAALAQAADwAAAAAAAAAAAAAAAACsBAAAZHJzL2Rvd25yZXYueG1sUEsF&#10;BgAAAAAEAAQA8wAAALgFAAAAAA==&#10;" filled="f" stroked="f">
                <v:textbox>
                  <w:txbxContent>
                    <w:p w14:paraId="271D696C"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Partie 4. Discussion</w:t>
                      </w:r>
                    </w:p>
                    <w:p w14:paraId="2E621499"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Générale </w:t>
                      </w:r>
                    </w:p>
                    <w:p w14:paraId="03BD0C8D" w14:textId="77777777" w:rsidR="00502BB2" w:rsidRDefault="00502BB2">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p>
                  </w:txbxContent>
                </v:textbox>
                <w10:wrap anchorx="margin"/>
              </v:shape>
            </w:pict>
          </mc:Fallback>
        </mc:AlternateContent>
      </w:r>
    </w:p>
    <w:p w14:paraId="6E03EACB" w14:textId="77777777" w:rsidR="00502BB2" w:rsidRDefault="00502BB2">
      <w:pPr>
        <w:rPr>
          <w:rFonts w:asciiTheme="minorBidi" w:hAnsiTheme="minorBidi"/>
          <w:sz w:val="24"/>
          <w:szCs w:val="24"/>
        </w:rPr>
      </w:pPr>
    </w:p>
    <w:p w14:paraId="2753658F" w14:textId="77777777" w:rsidR="00502BB2" w:rsidRDefault="00502BB2">
      <w:pPr>
        <w:rPr>
          <w:rFonts w:asciiTheme="minorBidi" w:hAnsiTheme="minorBidi"/>
          <w:sz w:val="24"/>
          <w:szCs w:val="24"/>
        </w:rPr>
      </w:pPr>
    </w:p>
    <w:p w14:paraId="456BE382" w14:textId="77777777" w:rsidR="00502BB2" w:rsidRDefault="0069123E">
      <w:pPr>
        <w:tabs>
          <w:tab w:val="left" w:pos="3260"/>
        </w:tabs>
        <w:rPr>
          <w:rFonts w:asciiTheme="minorBidi" w:hAnsiTheme="minorBidi"/>
          <w:sz w:val="24"/>
          <w:szCs w:val="24"/>
        </w:rPr>
      </w:pPr>
      <w:r>
        <w:rPr>
          <w:rFonts w:asciiTheme="minorBidi" w:hAnsiTheme="minorBidi"/>
          <w:sz w:val="24"/>
          <w:szCs w:val="24"/>
        </w:rPr>
        <w:tab/>
      </w:r>
    </w:p>
    <w:p w14:paraId="5703D3C8" w14:textId="77777777" w:rsidR="00502BB2" w:rsidRDefault="0069123E">
      <w:pPr>
        <w:tabs>
          <w:tab w:val="left" w:pos="3260"/>
        </w:tabs>
        <w:rPr>
          <w:rFonts w:asciiTheme="minorBidi" w:hAnsiTheme="minorBidi"/>
          <w:sz w:val="24"/>
          <w:szCs w:val="24"/>
        </w:rPr>
        <w:sectPr w:rsidR="00502BB2">
          <w:headerReference w:type="default" r:id="rId157"/>
          <w:footerReference w:type="default" r:id="rId158"/>
          <w:pgSz w:w="12240" w:h="15840"/>
          <w:pgMar w:top="1417" w:right="1417" w:bottom="1417" w:left="1417" w:header="720" w:footer="720" w:gutter="0"/>
          <w:cols w:space="720"/>
        </w:sectPr>
      </w:pPr>
      <w:r>
        <w:rPr>
          <w:rFonts w:asciiTheme="minorBidi" w:hAnsiTheme="minorBidi"/>
          <w:sz w:val="24"/>
          <w:szCs w:val="24"/>
        </w:rPr>
        <w:tab/>
      </w:r>
    </w:p>
    <w:p w14:paraId="48E08C87" w14:textId="77777777" w:rsidR="00502BB2" w:rsidRDefault="0069123E">
      <w:pPr>
        <w:pStyle w:val="Heading1"/>
        <w:jc w:val="center"/>
        <w:rPr>
          <w:rFonts w:ascii="Segoe Print" w:hAnsi="Segoe Print"/>
          <w:b/>
          <w:bCs/>
          <w:color w:val="0D0D0D" w:themeColor="text1" w:themeTint="F2"/>
          <w:sz w:val="42"/>
          <w:szCs w:val="42"/>
        </w:rPr>
      </w:pPr>
      <w:bookmarkStart w:id="125" w:name="_Toc226577365"/>
      <w:r>
        <w:rPr>
          <w:rFonts w:ascii="Segoe Print" w:hAnsi="Segoe Print"/>
          <w:b/>
          <w:bCs/>
          <w:color w:val="0D0D0D" w:themeColor="text1" w:themeTint="F2"/>
          <w:sz w:val="42"/>
          <w:szCs w:val="42"/>
        </w:rPr>
        <w:lastRenderedPageBreak/>
        <w:t>Discussion générale</w:t>
      </w:r>
      <w:bookmarkEnd w:id="125"/>
    </w:p>
    <w:p w14:paraId="697BEDF5" w14:textId="77777777" w:rsidR="00502BB2" w:rsidRDefault="0069123E">
      <w:pPr>
        <w:spacing w:line="360" w:lineRule="auto"/>
        <w:ind w:firstLine="708"/>
        <w:jc w:val="both"/>
      </w:pPr>
      <w:r>
        <w:rPr>
          <w:rFonts w:asciiTheme="minorBidi" w:hAnsiTheme="minorBidi"/>
          <w:sz w:val="24"/>
          <w:szCs w:val="24"/>
        </w:rPr>
        <w:t>L’objectif de cette étude était d’identifier des marqueurs biologiques prédictifs de la gravité de l’acidocétose diabétique (DKA) et de déterminer les paramètres associés à l’altération de l’état de conscience pouvant évoluer vers un coma diabétique. L’analyse comparative entre les patients hospitalisés en service de médecine interne et ceux admis en réanimation a permis de mettre en évidence plusieurs perturbations métaboliques significativement associées à la sévérité clinique</w:t>
      </w:r>
      <w:r>
        <w:t>.</w:t>
      </w:r>
    </w:p>
    <w:p w14:paraId="5264C4D1" w14:textId="77777777" w:rsidR="00502BB2" w:rsidRDefault="0069123E">
      <w:pPr>
        <w:spacing w:line="360" w:lineRule="auto"/>
        <w:ind w:firstLine="708"/>
        <w:jc w:val="both"/>
        <w:rPr>
          <w:rFonts w:asciiTheme="minorBidi" w:hAnsiTheme="minorBidi"/>
          <w:sz w:val="24"/>
          <w:szCs w:val="24"/>
        </w:rPr>
      </w:pPr>
      <w:r>
        <w:t xml:space="preserve"> </w:t>
      </w:r>
      <w:r>
        <w:rPr>
          <w:rFonts w:asciiTheme="minorBidi" w:hAnsiTheme="minorBidi"/>
          <w:sz w:val="24"/>
          <w:szCs w:val="24"/>
        </w:rPr>
        <w:t xml:space="preserve">L'étude rétrospective portant sur 44 patients hospitalisés pour </w:t>
      </w:r>
      <w:proofErr w:type="spellStart"/>
      <w:r>
        <w:rPr>
          <w:rFonts w:asciiTheme="minorBidi" w:hAnsiTheme="minorBidi"/>
          <w:sz w:val="24"/>
          <w:szCs w:val="24"/>
        </w:rPr>
        <w:t>cétoacidose</w:t>
      </w:r>
      <w:proofErr w:type="spellEnd"/>
      <w:r>
        <w:rPr>
          <w:rFonts w:asciiTheme="minorBidi" w:hAnsiTheme="minorBidi"/>
          <w:sz w:val="24"/>
          <w:szCs w:val="24"/>
        </w:rPr>
        <w:t xml:space="preserve"> ou acidocétose diabétique (DKA) au CHU de Tlemcen met en évidence une prédominance féminine (63,63% femmes ; sex-ratio H/F = 0,57), avec surreprésentation en médecine interne. Cela concorde avec des méta-analyses récentes (2024) montrant un risque accru de DKA sévère chez la femme, lié à des facteurs hormonaux, non-observance (arrêt insulinique pendant infections) et déterminants socio-culturels</w:t>
      </w:r>
      <w:r>
        <w:rPr>
          <w:b/>
          <w:bCs/>
        </w:rPr>
        <w:t xml:space="preserve"> </w:t>
      </w:r>
      <w:sdt>
        <w:sdtPr>
          <w:rPr>
            <w:rFonts w:asciiTheme="minorBidi" w:hAnsiTheme="minorBidi"/>
            <w:b/>
            <w:bCs/>
            <w:sz w:val="24"/>
            <w:szCs w:val="24"/>
          </w:rPr>
          <w:id w:val="-50551514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alU24 \l 1036 </w:instrText>
          </w:r>
          <w:r>
            <w:rPr>
              <w:rFonts w:asciiTheme="minorBidi" w:hAnsiTheme="minorBidi"/>
              <w:b/>
              <w:bCs/>
              <w:sz w:val="24"/>
              <w:szCs w:val="24"/>
            </w:rPr>
            <w:fldChar w:fldCharType="separate"/>
          </w:r>
          <w:r>
            <w:rPr>
              <w:rFonts w:asciiTheme="minorBidi" w:hAnsiTheme="minorBidi"/>
              <w:b/>
              <w:bCs/>
              <w:sz w:val="24"/>
              <w:szCs w:val="24"/>
            </w:rPr>
            <w:t>(GE, 2024)</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45028832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Ebr22 \l 1036 </w:instrText>
          </w:r>
          <w:r>
            <w:rPr>
              <w:rFonts w:asciiTheme="minorBidi" w:hAnsiTheme="minorBidi"/>
              <w:b/>
              <w:bCs/>
              <w:sz w:val="24"/>
              <w:szCs w:val="24"/>
            </w:rPr>
            <w:fldChar w:fldCharType="separate"/>
          </w:r>
          <w:r>
            <w:rPr>
              <w:rFonts w:asciiTheme="minorBidi" w:hAnsiTheme="minorBidi"/>
              <w:b/>
              <w:bCs/>
              <w:sz w:val="24"/>
              <w:szCs w:val="24"/>
            </w:rPr>
            <w:t>(Ebrahimi F, 2022)</w:t>
          </w:r>
          <w:r>
            <w:rPr>
              <w:rFonts w:asciiTheme="minorBidi" w:hAnsiTheme="minorBidi"/>
              <w:b/>
              <w:bCs/>
              <w:sz w:val="24"/>
              <w:szCs w:val="24"/>
            </w:rPr>
            <w:fldChar w:fldCharType="end"/>
          </w:r>
        </w:sdtContent>
      </w:sdt>
      <w:r>
        <w:rPr>
          <w:rFonts w:asciiTheme="minorBidi" w:hAnsiTheme="minorBidi"/>
          <w:b/>
          <w:bCs/>
          <w:sz w:val="24"/>
          <w:szCs w:val="24"/>
        </w:rPr>
        <w:t>.</w:t>
      </w:r>
      <w:r>
        <w:rPr>
          <w:b/>
          <w:bCs/>
        </w:rPr>
        <w:t xml:space="preserve"> </w:t>
      </w:r>
      <w:r>
        <w:rPr>
          <w:rFonts w:asciiTheme="minorBidi" w:hAnsiTheme="minorBidi"/>
          <w:sz w:val="24"/>
          <w:szCs w:val="24"/>
        </w:rPr>
        <w:t>L'âge moyen en médecine interne (39,21 ± 3,19 ans) vs réanimation (33,05 ± 4,7 ans ; ns)</w:t>
      </w:r>
      <w:r>
        <w:t xml:space="preserve"> </w:t>
      </w:r>
      <w:r>
        <w:rPr>
          <w:rFonts w:asciiTheme="minorBidi" w:hAnsiTheme="minorBidi"/>
          <w:sz w:val="24"/>
          <w:szCs w:val="24"/>
        </w:rPr>
        <w:t xml:space="preserve">ne présente pas de différence significative entre les groupes, ce qui suggère que la survenue du coma diabétique dépend davantage de la gravité du déséquilibre métabolique que de l’âge lui-même, rejoignant des données tunisiennes récentes sur le pic de DKA sévère chez jeunes diabétiques de type 1 (30% à 40%) et chez les adultes (15% à 20%). </w:t>
      </w:r>
      <w:sdt>
        <w:sdtPr>
          <w:rPr>
            <w:rFonts w:asciiTheme="minorBidi" w:hAnsiTheme="minorBidi"/>
            <w:sz w:val="24"/>
            <w:szCs w:val="24"/>
            <w:lang w:val="en-US"/>
          </w:rPr>
          <w:id w:val="-233552221"/>
        </w:sdtPr>
        <w:sdtEndPr>
          <w:rPr>
            <w:b/>
            <w:bCs/>
          </w:rPr>
        </w:sdtEndPr>
        <w:sdtContent>
          <w:r>
            <w:rPr>
              <w:rFonts w:asciiTheme="minorBidi" w:hAnsiTheme="minorBidi"/>
              <w:b/>
              <w:bCs/>
              <w:sz w:val="24"/>
              <w:szCs w:val="24"/>
              <w:lang w:val="en-US"/>
            </w:rPr>
            <w:fldChar w:fldCharType="begin"/>
          </w:r>
          <w:r>
            <w:rPr>
              <w:rFonts w:asciiTheme="minorBidi" w:hAnsiTheme="minorBidi"/>
              <w:b/>
              <w:bCs/>
              <w:sz w:val="24"/>
              <w:szCs w:val="24"/>
            </w:rPr>
            <w:instrText xml:space="preserve"> CITATION Fay17 \l 1036 </w:instrText>
          </w:r>
          <w:r>
            <w:rPr>
              <w:rFonts w:asciiTheme="minorBidi" w:hAnsiTheme="minorBidi"/>
              <w:b/>
              <w:bCs/>
              <w:sz w:val="24"/>
              <w:szCs w:val="24"/>
              <w:lang w:val="en-US"/>
            </w:rPr>
            <w:fldChar w:fldCharType="separate"/>
          </w:r>
          <w:r>
            <w:rPr>
              <w:rFonts w:asciiTheme="minorBidi" w:hAnsiTheme="minorBidi"/>
              <w:b/>
              <w:bCs/>
              <w:sz w:val="24"/>
              <w:szCs w:val="24"/>
            </w:rPr>
            <w:t>(Fayfman M, 2017)</w:t>
          </w:r>
          <w:r>
            <w:rPr>
              <w:rFonts w:asciiTheme="minorBidi" w:hAnsiTheme="minorBidi"/>
              <w:b/>
              <w:bCs/>
              <w:sz w:val="24"/>
              <w:szCs w:val="24"/>
              <w:lang w:val="en-US"/>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91594089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Ebr22 \l 1036 </w:instrText>
          </w:r>
          <w:r>
            <w:rPr>
              <w:rFonts w:asciiTheme="minorBidi" w:hAnsiTheme="minorBidi"/>
              <w:b/>
              <w:bCs/>
              <w:sz w:val="24"/>
              <w:szCs w:val="24"/>
            </w:rPr>
            <w:fldChar w:fldCharType="separate"/>
          </w:r>
          <w:r>
            <w:rPr>
              <w:rFonts w:asciiTheme="minorBidi" w:hAnsiTheme="minorBidi"/>
              <w:b/>
              <w:bCs/>
              <w:sz w:val="24"/>
              <w:szCs w:val="24"/>
            </w:rPr>
            <w:t>(Ebrahimi F, 2022)</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83401964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Ode23 \l 1036 </w:instrText>
          </w:r>
          <w:r>
            <w:rPr>
              <w:rFonts w:asciiTheme="minorBidi" w:hAnsiTheme="minorBidi"/>
              <w:b/>
              <w:bCs/>
              <w:sz w:val="24"/>
              <w:szCs w:val="24"/>
            </w:rPr>
            <w:fldChar w:fldCharType="separate"/>
          </w:r>
          <w:r>
            <w:rPr>
              <w:rFonts w:asciiTheme="minorBidi" w:hAnsiTheme="minorBidi"/>
              <w:b/>
              <w:bCs/>
              <w:sz w:val="24"/>
              <w:szCs w:val="24"/>
            </w:rPr>
            <w:t>(Odeh R,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60295797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alU24 \l 1036 </w:instrText>
          </w:r>
          <w:r>
            <w:rPr>
              <w:rFonts w:asciiTheme="minorBidi" w:hAnsiTheme="minorBidi"/>
              <w:b/>
              <w:bCs/>
              <w:sz w:val="24"/>
              <w:szCs w:val="24"/>
            </w:rPr>
            <w:fldChar w:fldCharType="separate"/>
          </w:r>
          <w:r>
            <w:rPr>
              <w:rFonts w:asciiTheme="minorBidi" w:hAnsiTheme="minorBidi"/>
              <w:b/>
              <w:bCs/>
              <w:sz w:val="24"/>
              <w:szCs w:val="24"/>
            </w:rPr>
            <w:t xml:space="preserve"> (GE, 2024)</w:t>
          </w:r>
          <w:r>
            <w:rPr>
              <w:rFonts w:asciiTheme="minorBidi" w:hAnsiTheme="minorBidi"/>
              <w:b/>
              <w:bCs/>
              <w:sz w:val="24"/>
              <w:szCs w:val="24"/>
            </w:rPr>
            <w:fldChar w:fldCharType="end"/>
          </w:r>
        </w:sdtContent>
      </w:sdt>
      <w:r>
        <w:rPr>
          <w:rFonts w:asciiTheme="minorBidi" w:hAnsiTheme="minorBidi"/>
          <w:sz w:val="24"/>
          <w:szCs w:val="24"/>
        </w:rPr>
        <w:t xml:space="preserve"> </w:t>
      </w:r>
    </w:p>
    <w:p w14:paraId="7EDF6694"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répartition étiologique (diabète de type 1 prédominant en réanimation, de type 2 en médecine interne) et la durée de diabète (1 semaine–4 mois pour les formes inaugurales, 1–30 ans pour (DT1/DT2), associées à des HbA1c élevées (11,91–13,13%), soulignent une évolution silencieuse et un mauvais contrôle glycémique chronique, mis en évidence comme facteur de risque majeur de décompensation et de récurrence de DKA de (5%) avec HbA1c</w:t>
      </w:r>
      <w:r>
        <w:rPr>
          <w:rFonts w:asciiTheme="minorBidi" w:hAnsiTheme="minorBidi"/>
          <w:color w:val="1B1B1B"/>
          <w:sz w:val="24"/>
          <w:szCs w:val="24"/>
          <w:shd w:val="clear" w:color="auto" w:fill="FFFFFF"/>
        </w:rPr>
        <w:t xml:space="preserve"> </w:t>
      </w:r>
      <w:r>
        <w:rPr>
          <w:rFonts w:asciiTheme="minorBidi" w:hAnsiTheme="minorBidi"/>
          <w:sz w:val="24"/>
          <w:szCs w:val="24"/>
        </w:rPr>
        <w:t>≥7.5%  dans l’études</w:t>
      </w:r>
      <w:sdt>
        <w:sdtPr>
          <w:rPr>
            <w:rFonts w:asciiTheme="minorBidi" w:hAnsiTheme="minorBidi"/>
            <w:b/>
            <w:bCs/>
            <w:sz w:val="24"/>
            <w:szCs w:val="24"/>
          </w:rPr>
          <w:id w:val="-44522813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Fay17 \l 1036 </w:instrText>
          </w:r>
          <w:r>
            <w:rPr>
              <w:rFonts w:asciiTheme="minorBidi" w:hAnsiTheme="minorBidi"/>
              <w:b/>
              <w:bCs/>
              <w:sz w:val="24"/>
              <w:szCs w:val="24"/>
            </w:rPr>
            <w:fldChar w:fldCharType="separate"/>
          </w:r>
          <w:r>
            <w:rPr>
              <w:rFonts w:asciiTheme="minorBidi" w:hAnsiTheme="minorBidi"/>
              <w:b/>
              <w:bCs/>
              <w:sz w:val="24"/>
              <w:szCs w:val="24"/>
            </w:rPr>
            <w:t xml:space="preserve"> (Fayfman M, 2017)</w:t>
          </w:r>
          <w:r>
            <w:rPr>
              <w:rFonts w:asciiTheme="minorBidi" w:hAnsiTheme="minorBidi"/>
              <w:b/>
              <w:bCs/>
              <w:sz w:val="24"/>
              <w:szCs w:val="24"/>
            </w:rPr>
            <w:fldChar w:fldCharType="end"/>
          </w:r>
        </w:sdtContent>
      </w:sdt>
      <w:r>
        <w:rPr>
          <w:rFonts w:asciiTheme="minorBidi" w:hAnsiTheme="minorBidi"/>
          <w:b/>
          <w:bCs/>
          <w:sz w:val="24"/>
          <w:szCs w:val="24"/>
        </w:rPr>
        <w:t>,</w:t>
      </w:r>
      <w:sdt>
        <w:sdtPr>
          <w:rPr>
            <w:rFonts w:asciiTheme="minorBidi" w:hAnsiTheme="minorBidi"/>
            <w:b/>
            <w:bCs/>
            <w:sz w:val="24"/>
            <w:szCs w:val="24"/>
          </w:rPr>
          <w:id w:val="31530845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alU24 \l 1036 </w:instrText>
          </w:r>
          <w:r>
            <w:rPr>
              <w:rFonts w:asciiTheme="minorBidi" w:hAnsiTheme="minorBidi"/>
              <w:b/>
              <w:bCs/>
              <w:sz w:val="24"/>
              <w:szCs w:val="24"/>
            </w:rPr>
            <w:fldChar w:fldCharType="separate"/>
          </w:r>
          <w:r>
            <w:rPr>
              <w:rFonts w:asciiTheme="minorBidi" w:hAnsiTheme="minorBidi"/>
              <w:b/>
              <w:bCs/>
              <w:sz w:val="24"/>
              <w:szCs w:val="24"/>
            </w:rPr>
            <w:t xml:space="preserve"> (GE, 2024)</w:t>
          </w:r>
          <w:r>
            <w:rPr>
              <w:rFonts w:asciiTheme="minorBidi" w:hAnsiTheme="minorBidi"/>
              <w:b/>
              <w:bCs/>
              <w:sz w:val="24"/>
              <w:szCs w:val="24"/>
            </w:rPr>
            <w:fldChar w:fldCharType="end"/>
          </w:r>
        </w:sdtContent>
      </w:sdt>
      <w:r>
        <w:rPr>
          <w:rFonts w:asciiTheme="minorBidi" w:hAnsiTheme="minorBidi"/>
          <w:sz w:val="24"/>
          <w:szCs w:val="24"/>
        </w:rPr>
        <w:t>. Ces profils évoquent des dysfonctions mitochondriales précoces, ce que confirment des travaux de 2024 sur l’altération de la β</w:t>
      </w:r>
      <w:r>
        <w:rPr>
          <w:rFonts w:asciiTheme="minorBidi" w:hAnsiTheme="minorBidi"/>
          <w:sz w:val="24"/>
          <w:szCs w:val="24"/>
        </w:rPr>
        <w:noBreakHyphen/>
        <w:t>oxydation lipidique en phase pré</w:t>
      </w:r>
      <w:r>
        <w:rPr>
          <w:rFonts w:asciiTheme="minorBidi" w:hAnsiTheme="minorBidi"/>
          <w:sz w:val="24"/>
          <w:szCs w:val="24"/>
        </w:rPr>
        <w:noBreakHyphen/>
        <w:t xml:space="preserve">comateuse de DKA, expliquant l’accumulation excessive de corps cétoniques et l’aggravation de l’acidose </w:t>
      </w:r>
      <w:sdt>
        <w:sdtPr>
          <w:rPr>
            <w:rFonts w:asciiTheme="minorBidi" w:hAnsiTheme="minorBidi"/>
            <w:b/>
            <w:bCs/>
            <w:sz w:val="24"/>
            <w:szCs w:val="24"/>
          </w:rPr>
          <w:id w:val="-158721148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Fay17 \l 1036 </w:instrText>
          </w:r>
          <w:r>
            <w:rPr>
              <w:rFonts w:asciiTheme="minorBidi" w:hAnsiTheme="minorBidi"/>
              <w:b/>
              <w:bCs/>
              <w:sz w:val="24"/>
              <w:szCs w:val="24"/>
            </w:rPr>
            <w:fldChar w:fldCharType="separate"/>
          </w:r>
          <w:r>
            <w:rPr>
              <w:rFonts w:asciiTheme="minorBidi" w:hAnsiTheme="minorBidi"/>
              <w:b/>
              <w:bCs/>
              <w:sz w:val="24"/>
              <w:szCs w:val="24"/>
            </w:rPr>
            <w:t>(Fayfman M, 2017)</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48944638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64688602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Xie24 \l 1036 </w:instrText>
          </w:r>
          <w:r>
            <w:rPr>
              <w:rFonts w:asciiTheme="minorBidi" w:hAnsiTheme="minorBidi"/>
              <w:b/>
              <w:bCs/>
              <w:sz w:val="24"/>
              <w:szCs w:val="24"/>
            </w:rPr>
            <w:fldChar w:fldCharType="separate"/>
          </w:r>
          <w:r>
            <w:rPr>
              <w:rFonts w:asciiTheme="minorBidi" w:hAnsiTheme="minorBidi"/>
              <w:b/>
              <w:bCs/>
              <w:sz w:val="24"/>
              <w:szCs w:val="24"/>
            </w:rPr>
            <w:t>(Xie R, 2024)</w:t>
          </w:r>
          <w:r>
            <w:rPr>
              <w:rFonts w:asciiTheme="minorBidi" w:hAnsiTheme="minorBidi"/>
              <w:b/>
              <w:bCs/>
              <w:sz w:val="24"/>
              <w:szCs w:val="24"/>
            </w:rPr>
            <w:fldChar w:fldCharType="end"/>
          </w:r>
        </w:sdtContent>
      </w:sdt>
      <w:r>
        <w:rPr>
          <w:rFonts w:asciiTheme="minorBidi" w:hAnsiTheme="minorBidi"/>
          <w:b/>
          <w:bCs/>
          <w:sz w:val="24"/>
          <w:szCs w:val="24"/>
        </w:rPr>
        <w:t>.</w:t>
      </w:r>
    </w:p>
    <w:p w14:paraId="5B6F481B"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lastRenderedPageBreak/>
        <w:t>Les symptômes cliniques (anorexie, déshydratation, polyurie</w:t>
      </w:r>
      <w:r>
        <w:rPr>
          <w:rFonts w:asciiTheme="minorBidi" w:hAnsiTheme="minorBidi"/>
          <w:sz w:val="24"/>
          <w:szCs w:val="24"/>
        </w:rPr>
        <w:noBreakHyphen/>
        <w:t>polydipsie, respiration de Kussmaul, haleine cétonique) et les facteurs déclenchants (infections, arrêt de l’insuline), présents dans les deux groupes, marquent une transition progressive de la cétose simple vers l’acidocétose compliquée de coma, en accord avec les descriptions récentes de la physiopathologie du DKA, où l’infection et la non</w:t>
      </w:r>
      <w:r>
        <w:rPr>
          <w:rFonts w:asciiTheme="minorBidi" w:hAnsiTheme="minorBidi"/>
          <w:sz w:val="24"/>
          <w:szCs w:val="24"/>
        </w:rPr>
        <w:noBreakHyphen/>
        <w:t xml:space="preserve">observance sont les principaux déclencheurs de 20–30% des cas </w:t>
      </w:r>
      <w:sdt>
        <w:sdtPr>
          <w:rPr>
            <w:rFonts w:asciiTheme="minorBidi" w:hAnsiTheme="minorBidi"/>
            <w:b/>
            <w:bCs/>
            <w:sz w:val="24"/>
            <w:szCs w:val="24"/>
          </w:rPr>
          <w:id w:val="209766193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alU24 \l 1036 </w:instrText>
          </w:r>
          <w:r>
            <w:rPr>
              <w:rFonts w:asciiTheme="minorBidi" w:hAnsiTheme="minorBidi"/>
              <w:b/>
              <w:bCs/>
              <w:sz w:val="24"/>
              <w:szCs w:val="24"/>
            </w:rPr>
            <w:fldChar w:fldCharType="separate"/>
          </w:r>
          <w:r>
            <w:rPr>
              <w:rFonts w:asciiTheme="minorBidi" w:hAnsiTheme="minorBidi"/>
              <w:b/>
              <w:bCs/>
              <w:sz w:val="24"/>
              <w:szCs w:val="24"/>
            </w:rPr>
            <w:t>(GE, 2024)</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51381242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Kil25 \l 1036 </w:instrText>
          </w:r>
          <w:r>
            <w:rPr>
              <w:rFonts w:asciiTheme="minorBidi" w:hAnsiTheme="minorBidi"/>
              <w:b/>
              <w:bCs/>
              <w:sz w:val="24"/>
              <w:szCs w:val="24"/>
            </w:rPr>
            <w:fldChar w:fldCharType="separate"/>
          </w:r>
          <w:r>
            <w:rPr>
              <w:rFonts w:asciiTheme="minorBidi" w:hAnsiTheme="minorBidi"/>
              <w:b/>
              <w:bCs/>
              <w:sz w:val="24"/>
              <w:szCs w:val="24"/>
            </w:rPr>
            <w:t>(Kilic &amp; Akman, 2025)</w:t>
          </w:r>
          <w:r>
            <w:rPr>
              <w:rFonts w:asciiTheme="minorBidi" w:hAnsiTheme="minorBidi"/>
              <w:b/>
              <w:bCs/>
              <w:sz w:val="24"/>
              <w:szCs w:val="24"/>
            </w:rPr>
            <w:fldChar w:fldCharType="end"/>
          </w:r>
        </w:sdtContent>
      </w:sdt>
      <w:r>
        <w:rPr>
          <w:rFonts w:asciiTheme="minorBidi" w:hAnsiTheme="minorBidi"/>
          <w:sz w:val="24"/>
          <w:szCs w:val="24"/>
        </w:rPr>
        <w:t> .L’association à des comorbidités (HTA, hypothyroïdie, dyslipidémie, traitements psychiatriques) amplifie le risque via une insulinorésistance et une dysfonction mitochondriale, notamment dans l’hypothyroïdie, où une diminution de l’activité de la chaîne respiratoire favorise l’accumulation de cétones et l’altération neurologique.</w:t>
      </w:r>
      <w:r>
        <w:rPr>
          <w:rFonts w:asciiTheme="minorBidi" w:hAnsiTheme="minorBidi"/>
          <w:b/>
          <w:bCs/>
          <w:sz w:val="24"/>
          <w:szCs w:val="24"/>
        </w:rPr>
        <w:t xml:space="preserve"> </w:t>
      </w:r>
      <w:sdt>
        <w:sdtPr>
          <w:rPr>
            <w:rFonts w:asciiTheme="minorBidi" w:hAnsiTheme="minorBidi"/>
            <w:b/>
            <w:bCs/>
            <w:sz w:val="24"/>
            <w:szCs w:val="24"/>
          </w:rPr>
          <w:id w:val="-6881791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Kve10 \l 1036 </w:instrText>
          </w:r>
          <w:r>
            <w:rPr>
              <w:rFonts w:asciiTheme="minorBidi" w:hAnsiTheme="minorBidi"/>
              <w:b/>
              <w:bCs/>
              <w:sz w:val="24"/>
              <w:szCs w:val="24"/>
            </w:rPr>
            <w:fldChar w:fldCharType="separate"/>
          </w:r>
          <w:r>
            <w:rPr>
              <w:rFonts w:asciiTheme="minorBidi" w:hAnsiTheme="minorBidi"/>
              <w:b/>
              <w:bCs/>
              <w:sz w:val="24"/>
              <w:szCs w:val="24"/>
            </w:rPr>
            <w:t>(Kvetny J, 2010)</w:t>
          </w:r>
          <w:r>
            <w:rPr>
              <w:rFonts w:asciiTheme="minorBidi" w:hAnsiTheme="minorBidi"/>
              <w:b/>
              <w:bCs/>
              <w:sz w:val="24"/>
              <w:szCs w:val="24"/>
            </w:rPr>
            <w:fldChar w:fldCharType="end"/>
          </w:r>
        </w:sdtContent>
      </w:sdt>
      <w:r>
        <w:rPr>
          <w:rFonts w:asciiTheme="minorBidi" w:hAnsiTheme="minorBidi"/>
          <w:b/>
          <w:bCs/>
          <w:sz w:val="24"/>
          <w:szCs w:val="24"/>
        </w:rPr>
        <w:t> ;</w:t>
      </w:r>
      <w:r>
        <w:rPr>
          <w:rFonts w:asciiTheme="minorBidi" w:hAnsiTheme="minorBidi"/>
          <w:sz w:val="24"/>
          <w:szCs w:val="24"/>
        </w:rPr>
        <w:t xml:space="preserve"> </w:t>
      </w:r>
      <w:sdt>
        <w:sdtPr>
          <w:rPr>
            <w:rFonts w:asciiTheme="minorBidi" w:hAnsiTheme="minorBidi"/>
            <w:b/>
            <w:bCs/>
            <w:sz w:val="24"/>
            <w:szCs w:val="24"/>
          </w:rPr>
          <w:id w:val="-208181545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Aid21 \l 1036 </w:instrText>
          </w:r>
          <w:r>
            <w:rPr>
              <w:rFonts w:asciiTheme="minorBidi" w:hAnsiTheme="minorBidi"/>
              <w:b/>
              <w:bCs/>
              <w:sz w:val="24"/>
              <w:szCs w:val="24"/>
            </w:rPr>
            <w:fldChar w:fldCharType="separate"/>
          </w:r>
          <w:r>
            <w:rPr>
              <w:rFonts w:asciiTheme="minorBidi" w:hAnsiTheme="minorBidi"/>
              <w:b/>
              <w:bCs/>
              <w:sz w:val="24"/>
              <w:szCs w:val="24"/>
            </w:rPr>
            <w:t>(Aidar R. Gosmanov, 2021)</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936720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85893799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Ket25 \l 1036 </w:instrText>
          </w:r>
          <w:r>
            <w:rPr>
              <w:rFonts w:asciiTheme="minorBidi" w:hAnsiTheme="minorBidi"/>
              <w:b/>
              <w:bCs/>
              <w:sz w:val="24"/>
              <w:szCs w:val="24"/>
            </w:rPr>
            <w:fldChar w:fldCharType="separate"/>
          </w:r>
          <w:r>
            <w:rPr>
              <w:rFonts w:asciiTheme="minorBidi" w:hAnsiTheme="minorBidi"/>
              <w:b/>
              <w:bCs/>
              <w:sz w:val="24"/>
              <w:szCs w:val="24"/>
            </w:rPr>
            <w:t>(Ketan Dhatariya, 2025)</w:t>
          </w:r>
          <w:r>
            <w:rPr>
              <w:rFonts w:asciiTheme="minorBidi" w:hAnsiTheme="minorBidi"/>
              <w:b/>
              <w:bCs/>
              <w:sz w:val="24"/>
              <w:szCs w:val="24"/>
            </w:rPr>
            <w:fldChar w:fldCharType="end"/>
          </w:r>
        </w:sdtContent>
      </w:sdt>
    </w:p>
    <w:p w14:paraId="572E15E3"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glycémie à l’admission est significativement plus élevée en réanimation (5,916 ± 0,412 g/L) qu’en médecine interne (3,56 ± 1,615 g/L, p &lt; 0,05), toutes deux dépassant largement la norme physiologique (0,7–1,10 g/L). Cette hyperglycémie marquée en réanimation reflète un déficit relatif ou absolu en insuline (arrêt de traitement, mauvaise observance, traitements iatrogènes), ce qui est conforme aux critères actuels de DKA où une glycémie &gt; 200 mg/</w:t>
      </w:r>
      <w:proofErr w:type="spellStart"/>
      <w:r>
        <w:rPr>
          <w:rFonts w:asciiTheme="minorBidi" w:hAnsiTheme="minorBidi"/>
          <w:sz w:val="24"/>
          <w:szCs w:val="24"/>
        </w:rPr>
        <w:t>dL</w:t>
      </w:r>
      <w:proofErr w:type="spellEnd"/>
      <w:r>
        <w:rPr>
          <w:rFonts w:asciiTheme="minorBidi" w:hAnsiTheme="minorBidi"/>
          <w:sz w:val="24"/>
          <w:szCs w:val="24"/>
        </w:rPr>
        <w:t xml:space="preserve"> est nécessaire mais non suffisante pour distinguer la cétose simple de l’acidocétose sévère.</w:t>
      </w:r>
      <w:r>
        <w:rPr>
          <w:rFonts w:asciiTheme="minorBidi" w:hAnsiTheme="minorBidi"/>
          <w:b/>
          <w:bCs/>
          <w:sz w:val="24"/>
          <w:szCs w:val="24"/>
        </w:rPr>
        <w:t xml:space="preserve"> </w:t>
      </w:r>
      <w:sdt>
        <w:sdtPr>
          <w:rPr>
            <w:rFonts w:asciiTheme="minorBidi" w:hAnsiTheme="minorBidi"/>
            <w:b/>
            <w:bCs/>
            <w:sz w:val="24"/>
            <w:szCs w:val="24"/>
          </w:rPr>
          <w:id w:val="-174987232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79579289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alU24 \l 1036 </w:instrText>
          </w:r>
          <w:r>
            <w:rPr>
              <w:rFonts w:asciiTheme="minorBidi" w:hAnsiTheme="minorBidi"/>
              <w:b/>
              <w:bCs/>
              <w:sz w:val="24"/>
              <w:szCs w:val="24"/>
            </w:rPr>
            <w:fldChar w:fldCharType="separate"/>
          </w:r>
          <w:r>
            <w:rPr>
              <w:rFonts w:asciiTheme="minorBidi" w:hAnsiTheme="minorBidi"/>
              <w:b/>
              <w:bCs/>
              <w:sz w:val="24"/>
              <w:szCs w:val="24"/>
            </w:rPr>
            <w:t xml:space="preserve"> (GE, 2024)</w:t>
          </w:r>
          <w:r>
            <w:rPr>
              <w:rFonts w:asciiTheme="minorBidi" w:hAnsiTheme="minorBidi"/>
              <w:b/>
              <w:bCs/>
              <w:sz w:val="24"/>
              <w:szCs w:val="24"/>
            </w:rPr>
            <w:fldChar w:fldCharType="end"/>
          </w:r>
        </w:sdtContent>
      </w:sdt>
    </w:p>
    <w:p w14:paraId="1E0A9CC1"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En parallèle, l’HbA1c est élevée dans les deux groupes (11,91 ± 0,45% en médecine interne, 13,13 ± 0,72% en réanimation, ns), ce qui confirme un déséquilibre glycémique chronique intrinsèque au diabète, indépendant du coma mais associé à un risque accru de décompensation et de récurrence, comme montré dans les séries d’étude où une HbA1c &gt; 8–9% prédispose à des épisodes de DKA, sans toutefois servir de marqueur de gravité immédiate à l’admission.</w:t>
      </w:r>
      <w:r>
        <w:rPr>
          <w:rFonts w:asciiTheme="minorBidi" w:hAnsiTheme="minorBidi"/>
          <w:b/>
          <w:bCs/>
          <w:sz w:val="24"/>
          <w:szCs w:val="24"/>
        </w:rPr>
        <w:t xml:space="preserve"> </w:t>
      </w:r>
      <w:r>
        <w:rPr>
          <w:rFonts w:asciiTheme="minorBidi" w:hAnsiTheme="minorBidi"/>
          <w:sz w:val="24"/>
          <w:szCs w:val="24"/>
        </w:rPr>
        <w:t>(</w:t>
      </w:r>
      <w:proofErr w:type="spellStart"/>
      <w:r>
        <w:rPr>
          <w:rFonts w:asciiTheme="minorBidi" w:hAnsiTheme="minorBidi"/>
          <w:b/>
          <w:bCs/>
          <w:sz w:val="24"/>
          <w:szCs w:val="24"/>
        </w:rPr>
        <w:t>Dhatariya</w:t>
      </w:r>
      <w:proofErr w:type="spellEnd"/>
      <w:r>
        <w:rPr>
          <w:rFonts w:asciiTheme="minorBidi" w:hAnsiTheme="minorBidi"/>
          <w:b/>
          <w:bCs/>
          <w:sz w:val="24"/>
          <w:szCs w:val="24"/>
        </w:rPr>
        <w:t>, 2022) ;</w:t>
      </w:r>
      <w:sdt>
        <w:sdtPr>
          <w:rPr>
            <w:rFonts w:asciiTheme="minorBidi" w:hAnsiTheme="minorBidi"/>
            <w:b/>
            <w:bCs/>
            <w:sz w:val="24"/>
            <w:szCs w:val="24"/>
          </w:rPr>
          <w:id w:val="-7898911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w:t>
          </w:r>
          <w:proofErr w:type="spellStart"/>
          <w:r>
            <w:rPr>
              <w:rFonts w:asciiTheme="minorBidi" w:hAnsiTheme="minorBidi"/>
              <w:b/>
              <w:bCs/>
              <w:sz w:val="24"/>
              <w:szCs w:val="24"/>
            </w:rPr>
            <w:t>Elendu</w:t>
          </w:r>
          <w:proofErr w:type="spellEnd"/>
          <w:r>
            <w:rPr>
              <w:rFonts w:asciiTheme="minorBidi" w:hAnsiTheme="minorBidi"/>
              <w:b/>
              <w:bCs/>
              <w:sz w:val="24"/>
              <w:szCs w:val="24"/>
            </w:rPr>
            <w:t>,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13977099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alU24 \l 1036 </w:instrText>
          </w:r>
          <w:r>
            <w:rPr>
              <w:rFonts w:asciiTheme="minorBidi" w:hAnsiTheme="minorBidi"/>
              <w:b/>
              <w:bCs/>
              <w:sz w:val="24"/>
              <w:szCs w:val="24"/>
            </w:rPr>
            <w:fldChar w:fldCharType="separate"/>
          </w:r>
          <w:r>
            <w:rPr>
              <w:rFonts w:asciiTheme="minorBidi" w:hAnsiTheme="minorBidi"/>
              <w:b/>
              <w:bCs/>
              <w:sz w:val="24"/>
              <w:szCs w:val="24"/>
            </w:rPr>
            <w:t xml:space="preserve"> (GE, 2024)</w:t>
          </w:r>
          <w:r>
            <w:rPr>
              <w:rFonts w:asciiTheme="minorBidi" w:hAnsiTheme="minorBidi"/>
              <w:b/>
              <w:bCs/>
              <w:sz w:val="24"/>
              <w:szCs w:val="24"/>
            </w:rPr>
            <w:fldChar w:fldCharType="end"/>
          </w:r>
        </w:sdtContent>
      </w:sdt>
      <w:r>
        <w:rPr>
          <w:rFonts w:asciiTheme="minorBidi" w:hAnsiTheme="minorBidi"/>
          <w:sz w:val="24"/>
          <w:szCs w:val="24"/>
        </w:rPr>
        <w:t xml:space="preserve"> </w:t>
      </w:r>
    </w:p>
    <w:p w14:paraId="182C522F"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La chimie des urines ne montre pas de différence significative entre les deux groupes (cétonurie : 107,8 ± 8,05 vs 80,68 ± 9,468 ; glucosurie : 618,4 ± 72,47 vs 693,2 ± 63,56 ; p &gt; 0,05), bien que la cétonurie apparaisse plus élevée et la glucosurie légèrement plus faible chez les patients admis en réanimation. Cette absence de pouvoir discriminant souligne les limites des bandelettes urinaires dans la prédiction du coma, car celles-ci </w:t>
      </w:r>
      <w:r>
        <w:rPr>
          <w:rFonts w:asciiTheme="minorBidi" w:hAnsiTheme="minorBidi"/>
          <w:sz w:val="24"/>
          <w:szCs w:val="24"/>
        </w:rPr>
        <w:lastRenderedPageBreak/>
        <w:t xml:space="preserve">détectent principalement l’acétoacétate, dont les résultats rapportés dans des études antérieures varient généralement de (+/−) (trace) à (++) (modéré). Or, la sévérité de l’acidocétose diabétique dépend principalement de la concentration plasmatique de β-hydroxybutyrate, qui représente le corps cétonique majoritaire et n’est pas mesuré par les tests urinaires. Par ailleurs, la présence fréquente d’une oligurie (100–1000 </w:t>
      </w:r>
      <w:proofErr w:type="spellStart"/>
      <w:r>
        <w:rPr>
          <w:rFonts w:asciiTheme="minorBidi" w:hAnsiTheme="minorBidi"/>
          <w:sz w:val="24"/>
          <w:szCs w:val="24"/>
        </w:rPr>
        <w:t>mL</w:t>
      </w:r>
      <w:proofErr w:type="spellEnd"/>
      <w:r>
        <w:rPr>
          <w:rFonts w:asciiTheme="minorBidi" w:hAnsiTheme="minorBidi"/>
          <w:sz w:val="24"/>
          <w:szCs w:val="24"/>
        </w:rPr>
        <w:t xml:space="preserve">/jour chez les patients comateux) peut modifier la concentration urinaire et limiter </w:t>
      </w:r>
      <w:r>
        <w:rPr>
          <w:rFonts w:asciiTheme="minorBidi" w:hAnsiTheme="minorBidi"/>
          <w:sz w:val="24"/>
          <w:szCs w:val="24"/>
        </w:rPr>
        <w:t xml:space="preserve">la fiabilité de l’interprétation. Ces éléments suggèrent qu’un dosage quantitatif du β-hydroxybutyrate plasmatique (seuil ≥ 3 </w:t>
      </w:r>
      <w:proofErr w:type="spellStart"/>
      <w:r>
        <w:rPr>
          <w:rFonts w:asciiTheme="minorBidi" w:hAnsiTheme="minorBidi"/>
          <w:sz w:val="24"/>
          <w:szCs w:val="24"/>
        </w:rPr>
        <w:t>mmol</w:t>
      </w:r>
      <w:proofErr w:type="spellEnd"/>
      <w:r>
        <w:rPr>
          <w:rFonts w:asciiTheme="minorBidi" w:hAnsiTheme="minorBidi"/>
          <w:sz w:val="24"/>
          <w:szCs w:val="24"/>
        </w:rPr>
        <w:t xml:space="preserve">/L) constitue un indicateur plus pertinent de la sévérité métabolique. </w:t>
      </w:r>
      <w:proofErr w:type="gramStart"/>
      <w:r>
        <w:rPr>
          <w:rFonts w:asciiTheme="minorBidi" w:hAnsiTheme="minorBidi"/>
          <w:b/>
          <w:bCs/>
          <w:sz w:val="24"/>
          <w:szCs w:val="24"/>
        </w:rPr>
        <w:t>( Alice</w:t>
      </w:r>
      <w:proofErr w:type="gramEnd"/>
      <w:r>
        <w:rPr>
          <w:rFonts w:asciiTheme="minorBidi" w:hAnsiTheme="minorBidi"/>
          <w:b/>
          <w:bCs/>
          <w:sz w:val="24"/>
          <w:szCs w:val="24"/>
        </w:rPr>
        <w:t xml:space="preserve">. A., 2020) ; </w:t>
      </w:r>
      <w:sdt>
        <w:sdtPr>
          <w:rPr>
            <w:rFonts w:asciiTheme="minorBidi" w:hAnsiTheme="minorBidi"/>
            <w:b/>
            <w:bCs/>
            <w:sz w:val="24"/>
            <w:szCs w:val="24"/>
          </w:rPr>
          <w:id w:val="-13556863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Dha20 \l 1036 </w:instrText>
          </w:r>
          <w:r>
            <w:rPr>
              <w:rFonts w:asciiTheme="minorBidi" w:hAnsiTheme="minorBidi"/>
              <w:b/>
              <w:bCs/>
              <w:sz w:val="24"/>
              <w:szCs w:val="24"/>
            </w:rPr>
            <w:fldChar w:fldCharType="separate"/>
          </w:r>
          <w:r>
            <w:rPr>
              <w:rFonts w:asciiTheme="minorBidi" w:hAnsiTheme="minorBidi"/>
              <w:b/>
              <w:bCs/>
              <w:sz w:val="24"/>
              <w:szCs w:val="24"/>
            </w:rPr>
            <w:t>(Dhatariya, 2020)</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40159912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145574946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Ket25 \l 1036 </w:instrText>
          </w:r>
          <w:r>
            <w:rPr>
              <w:rFonts w:asciiTheme="minorBidi" w:hAnsiTheme="minorBidi"/>
              <w:b/>
              <w:bCs/>
              <w:sz w:val="24"/>
              <w:szCs w:val="24"/>
            </w:rPr>
            <w:fldChar w:fldCharType="separate"/>
          </w:r>
          <w:r>
            <w:rPr>
              <w:rFonts w:asciiTheme="minorBidi" w:hAnsiTheme="minorBidi"/>
              <w:b/>
              <w:bCs/>
              <w:sz w:val="24"/>
              <w:szCs w:val="24"/>
            </w:rPr>
            <w:t xml:space="preserve"> (Ketan Dhatariya, 2025)</w:t>
          </w:r>
          <w:r>
            <w:rPr>
              <w:rFonts w:asciiTheme="minorBidi" w:hAnsiTheme="minorBidi"/>
              <w:b/>
              <w:bCs/>
              <w:sz w:val="24"/>
              <w:szCs w:val="24"/>
            </w:rPr>
            <w:fldChar w:fldCharType="end"/>
          </w:r>
        </w:sdtContent>
      </w:sdt>
    </w:p>
    <w:p w14:paraId="7759A625" w14:textId="4D3E2E99"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gazométrie révèle une acidose métabolique sévère en réanimation, avec un pH nettement plus bas (6,85 ± 0,148 vs 7,</w:t>
      </w:r>
      <w:r w:rsidR="00B86E45">
        <w:rPr>
          <w:rFonts w:asciiTheme="minorBidi" w:hAnsiTheme="minorBidi"/>
          <w:sz w:val="24"/>
          <w:szCs w:val="24"/>
        </w:rPr>
        <w:t>29</w:t>
      </w:r>
      <w:r>
        <w:rPr>
          <w:rFonts w:asciiTheme="minorBidi" w:hAnsiTheme="minorBidi"/>
          <w:sz w:val="24"/>
          <w:szCs w:val="24"/>
        </w:rPr>
        <w:t xml:space="preserve"> ± 0,0</w:t>
      </w:r>
      <w:r w:rsidR="00B86E45">
        <w:rPr>
          <w:rFonts w:asciiTheme="minorBidi" w:hAnsiTheme="minorBidi"/>
          <w:sz w:val="24"/>
          <w:szCs w:val="24"/>
        </w:rPr>
        <w:t>4</w:t>
      </w:r>
      <w:r>
        <w:rPr>
          <w:rFonts w:asciiTheme="minorBidi" w:hAnsiTheme="minorBidi"/>
          <w:sz w:val="24"/>
          <w:szCs w:val="24"/>
        </w:rPr>
        <w:t>, p &lt; 0,01) et une HCO</w:t>
      </w:r>
      <w:r>
        <w:rPr>
          <w:rFonts w:ascii="Cambria Math" w:hAnsi="Cambria Math" w:cs="Cambria Math"/>
          <w:sz w:val="24"/>
          <w:szCs w:val="24"/>
        </w:rPr>
        <w:t>₃⁻</w:t>
      </w:r>
      <w:r>
        <w:rPr>
          <w:rFonts w:asciiTheme="minorBidi" w:hAnsiTheme="minorBidi"/>
          <w:sz w:val="24"/>
          <w:szCs w:val="24"/>
        </w:rPr>
        <w:t xml:space="preserve"> plus abaissée (8,81 ± 2,36 </w:t>
      </w:r>
      <w:proofErr w:type="spellStart"/>
      <w:r>
        <w:rPr>
          <w:rFonts w:asciiTheme="minorBidi" w:hAnsiTheme="minorBidi"/>
          <w:sz w:val="24"/>
          <w:szCs w:val="24"/>
        </w:rPr>
        <w:t>mmol</w:t>
      </w:r>
      <w:proofErr w:type="spellEnd"/>
      <w:r>
        <w:rPr>
          <w:rFonts w:asciiTheme="minorBidi" w:hAnsiTheme="minorBidi"/>
          <w:sz w:val="24"/>
          <w:szCs w:val="24"/>
        </w:rPr>
        <w:t xml:space="preserve">/L vs 18,57 ± 2,84 </w:t>
      </w:r>
      <w:proofErr w:type="spellStart"/>
      <w:r>
        <w:rPr>
          <w:rFonts w:asciiTheme="minorBidi" w:hAnsiTheme="minorBidi"/>
          <w:sz w:val="24"/>
          <w:szCs w:val="24"/>
        </w:rPr>
        <w:t>mmol</w:t>
      </w:r>
      <w:proofErr w:type="spellEnd"/>
      <w:r>
        <w:rPr>
          <w:rFonts w:asciiTheme="minorBidi" w:hAnsiTheme="minorBidi"/>
          <w:sz w:val="24"/>
          <w:szCs w:val="24"/>
        </w:rPr>
        <w:t>/L, p &lt; 0,01), profils conformes aux critères de DKA sévère (pH &lt; 7,25, HCO</w:t>
      </w:r>
      <w:r>
        <w:rPr>
          <w:rFonts w:ascii="Cambria Math" w:hAnsi="Cambria Math" w:cs="Cambria Math"/>
          <w:sz w:val="24"/>
          <w:szCs w:val="24"/>
        </w:rPr>
        <w:t>₃⁻</w:t>
      </w:r>
      <w:r>
        <w:rPr>
          <w:rFonts w:asciiTheme="minorBidi" w:hAnsiTheme="minorBidi"/>
          <w:sz w:val="24"/>
          <w:szCs w:val="24"/>
        </w:rPr>
        <w:t xml:space="preserve"> &lt; 12 </w:t>
      </w:r>
      <w:proofErr w:type="spellStart"/>
      <w:r>
        <w:rPr>
          <w:rFonts w:asciiTheme="minorBidi" w:hAnsiTheme="minorBidi"/>
          <w:sz w:val="24"/>
          <w:szCs w:val="24"/>
        </w:rPr>
        <w:t>mmol</w:t>
      </w:r>
      <w:proofErr w:type="spellEnd"/>
      <w:r>
        <w:rPr>
          <w:rFonts w:asciiTheme="minorBidi" w:hAnsiTheme="minorBidi"/>
          <w:sz w:val="24"/>
          <w:szCs w:val="24"/>
        </w:rPr>
        <w:t>/L, anion gap &gt; 20</w:t>
      </w:r>
      <w:r>
        <w:rPr>
          <w:rFonts w:ascii="Arial" w:hAnsi="Arial" w:cs="Arial"/>
          <w:sz w:val="24"/>
          <w:szCs w:val="24"/>
        </w:rPr>
        <w:t>–</w:t>
      </w:r>
      <w:r>
        <w:rPr>
          <w:rFonts w:asciiTheme="minorBidi" w:hAnsiTheme="minorBidi"/>
          <w:sz w:val="24"/>
          <w:szCs w:val="24"/>
        </w:rPr>
        <w:t>25 mEq/L), semblable à celui publié dans une cohorte de 2024 où le pH 6,8–7,0 prédit l’altération mitochondriale (diminution ATP) et l’hyperlactatémie, soutient le rôle du pH comme marqueur pronostique indirect du coma DKA ].</w:t>
      </w:r>
      <w:r>
        <w:rPr>
          <w:rFonts w:asciiTheme="minorBidi" w:hAnsiTheme="minorBidi"/>
          <w:b/>
          <w:bCs/>
          <w:sz w:val="24"/>
          <w:szCs w:val="24"/>
        </w:rPr>
        <w:t xml:space="preserve"> </w:t>
      </w:r>
      <w:sdt>
        <w:sdtPr>
          <w:rPr>
            <w:rFonts w:asciiTheme="minorBidi" w:hAnsiTheme="minorBidi"/>
            <w:b/>
            <w:bCs/>
            <w:sz w:val="24"/>
            <w:szCs w:val="24"/>
          </w:rPr>
          <w:id w:val="38376075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168516347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Ket25 \l 1036 </w:instrText>
          </w:r>
          <w:r>
            <w:rPr>
              <w:rFonts w:asciiTheme="minorBidi" w:hAnsiTheme="minorBidi"/>
              <w:b/>
              <w:bCs/>
              <w:sz w:val="24"/>
              <w:szCs w:val="24"/>
            </w:rPr>
            <w:fldChar w:fldCharType="separate"/>
          </w:r>
          <w:r>
            <w:rPr>
              <w:rFonts w:asciiTheme="minorBidi" w:hAnsiTheme="minorBidi"/>
              <w:b/>
              <w:bCs/>
              <w:sz w:val="24"/>
              <w:szCs w:val="24"/>
            </w:rPr>
            <w:t xml:space="preserve"> (Ketan Dhatariya, 2025)</w:t>
          </w:r>
          <w:r>
            <w:rPr>
              <w:rFonts w:asciiTheme="minorBidi" w:hAnsiTheme="minorBidi"/>
              <w:b/>
              <w:bCs/>
              <w:sz w:val="24"/>
              <w:szCs w:val="24"/>
            </w:rPr>
            <w:fldChar w:fldCharType="end"/>
          </w:r>
        </w:sdtContent>
      </w:sdt>
    </w:p>
    <w:p w14:paraId="4547C7D0"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 trou anionique (anion gap) est significativement plus élevé chez les patients en réanimation (26,51 ± 6,205 mEq/L vs 13,2 ± 3,160 mEq/L ; p &lt; 0,01), avec des valeurs supérieures à celles rapportées par </w:t>
      </w:r>
      <w:r>
        <w:rPr>
          <w:rFonts w:asciiTheme="minorBidi" w:hAnsiTheme="minorBidi"/>
          <w:b/>
          <w:bCs/>
          <w:sz w:val="24"/>
          <w:szCs w:val="24"/>
        </w:rPr>
        <w:t>Ketan Dhatariya (2025)</w:t>
      </w:r>
      <w:r>
        <w:rPr>
          <w:rFonts w:asciiTheme="minorBidi" w:hAnsiTheme="minorBidi"/>
          <w:sz w:val="24"/>
          <w:szCs w:val="24"/>
        </w:rPr>
        <w:t xml:space="preserve"> (19,7 ± 5,5 </w:t>
      </w:r>
      <w:proofErr w:type="spellStart"/>
      <w:r>
        <w:rPr>
          <w:rFonts w:asciiTheme="minorBidi" w:hAnsiTheme="minorBidi"/>
          <w:sz w:val="24"/>
          <w:szCs w:val="24"/>
        </w:rPr>
        <w:t>mmol</w:t>
      </w:r>
      <w:proofErr w:type="spellEnd"/>
      <w:r>
        <w:rPr>
          <w:rFonts w:asciiTheme="minorBidi" w:hAnsiTheme="minorBidi"/>
          <w:sz w:val="24"/>
          <w:szCs w:val="24"/>
        </w:rPr>
        <w:t>/L), indiquant une acidose métabolique plus sévère dans notre population. De même, l’osmolarité plasmatique est plus élevée en réanimation (324,2 ± 6,75 mOsm/L vs 303,7 ± 3,434 mOsm/L ; p &lt; 0,01), dépassant les valeurs décrites dans la littérature (305,7 ± 13,6 mOsm/kg), ce qui reflète une hyperosmolarité et une déshydratation plus marquées. Ces résultats concordent avec les études récentes montrant qu’un anion gap &gt; 20–25 mEq/L et une osmolarité &gt; 320 mOsm/L sont asso</w:t>
      </w:r>
      <w:r>
        <w:rPr>
          <w:rFonts w:asciiTheme="minorBidi" w:hAnsiTheme="minorBidi"/>
          <w:sz w:val="24"/>
          <w:szCs w:val="24"/>
        </w:rPr>
        <w:t xml:space="preserve">ciés à un risque accru de coma et de gravité clinique, et améliorés en qualité prédictive par le ratio AG/osmolarité (&gt; 0,08). </w:t>
      </w:r>
      <w:sdt>
        <w:sdtPr>
          <w:rPr>
            <w:rFonts w:asciiTheme="minorBidi" w:hAnsiTheme="minorBidi"/>
            <w:b/>
            <w:bCs/>
            <w:sz w:val="24"/>
            <w:szCs w:val="24"/>
          </w:rPr>
          <w:id w:val="83997912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sz w:val="24"/>
          <w:szCs w:val="24"/>
        </w:rPr>
        <w:t> ;(</w:t>
      </w:r>
      <w:r>
        <w:rPr>
          <w:rFonts w:asciiTheme="minorBidi" w:hAnsiTheme="minorBidi"/>
          <w:b/>
          <w:bCs/>
          <w:sz w:val="24"/>
          <w:szCs w:val="24"/>
        </w:rPr>
        <w:t>Rhodes, 2024) ; (Egi, 2025)</w:t>
      </w:r>
    </w:p>
    <w:p w14:paraId="6DC93F77"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Les électrolytes montrent une hyperkaliémie relative chez les patients en réanimation (5,215 ± 0,305 </w:t>
      </w:r>
      <w:proofErr w:type="spellStart"/>
      <w:r>
        <w:rPr>
          <w:rFonts w:asciiTheme="minorBidi" w:hAnsiTheme="minorBidi"/>
          <w:sz w:val="24"/>
          <w:szCs w:val="24"/>
        </w:rPr>
        <w:t>mmol</w:t>
      </w:r>
      <w:proofErr w:type="spellEnd"/>
      <w:r>
        <w:rPr>
          <w:rFonts w:asciiTheme="minorBidi" w:hAnsiTheme="minorBidi"/>
          <w:sz w:val="24"/>
          <w:szCs w:val="24"/>
        </w:rPr>
        <w:t xml:space="preserve">/L ; p = ns) ainsi qu’une </w:t>
      </w:r>
      <w:proofErr w:type="spellStart"/>
      <w:r>
        <w:rPr>
          <w:rFonts w:asciiTheme="minorBidi" w:hAnsiTheme="minorBidi"/>
          <w:sz w:val="24"/>
          <w:szCs w:val="24"/>
        </w:rPr>
        <w:t>hyperchlorémie</w:t>
      </w:r>
      <w:proofErr w:type="spellEnd"/>
      <w:r>
        <w:rPr>
          <w:rFonts w:asciiTheme="minorBidi" w:hAnsiTheme="minorBidi"/>
          <w:sz w:val="24"/>
          <w:szCs w:val="24"/>
        </w:rPr>
        <w:t xml:space="preserve"> significative (107,5 ± 5,047 </w:t>
      </w:r>
      <w:proofErr w:type="spellStart"/>
      <w:r>
        <w:rPr>
          <w:rFonts w:asciiTheme="minorBidi" w:hAnsiTheme="minorBidi"/>
          <w:sz w:val="24"/>
          <w:szCs w:val="24"/>
        </w:rPr>
        <w:lastRenderedPageBreak/>
        <w:t>mmol</w:t>
      </w:r>
      <w:proofErr w:type="spellEnd"/>
      <w:r>
        <w:rPr>
          <w:rFonts w:asciiTheme="minorBidi" w:hAnsiTheme="minorBidi"/>
          <w:sz w:val="24"/>
          <w:szCs w:val="24"/>
        </w:rPr>
        <w:t xml:space="preserve">/L vs 100,1 ± 1,986 </w:t>
      </w:r>
      <w:proofErr w:type="spellStart"/>
      <w:r>
        <w:rPr>
          <w:rFonts w:asciiTheme="minorBidi" w:hAnsiTheme="minorBidi"/>
          <w:sz w:val="24"/>
          <w:szCs w:val="24"/>
        </w:rPr>
        <w:t>mmol</w:t>
      </w:r>
      <w:proofErr w:type="spellEnd"/>
      <w:r>
        <w:rPr>
          <w:rFonts w:asciiTheme="minorBidi" w:hAnsiTheme="minorBidi"/>
          <w:sz w:val="24"/>
          <w:szCs w:val="24"/>
        </w:rPr>
        <w:t>/L ; p &lt; 0,05). Ces perturbations traduisent une acidose métabolique associée à un déplacement du potassium du compartiment intracellulaire vers le compartiment extracellulaire, entraînant une déplétion intracellulaire en K</w:t>
      </w:r>
      <w:r>
        <w:rPr>
          <w:rFonts w:ascii="Cambria Math" w:hAnsi="Cambria Math" w:cs="Cambria Math"/>
          <w:sz w:val="24"/>
          <w:szCs w:val="24"/>
        </w:rPr>
        <w:t>⁺</w:t>
      </w:r>
      <w:r>
        <w:rPr>
          <w:rFonts w:asciiTheme="minorBidi" w:hAnsiTheme="minorBidi"/>
          <w:sz w:val="24"/>
          <w:szCs w:val="24"/>
        </w:rPr>
        <w:t xml:space="preserve"> malgr</w:t>
      </w:r>
      <w:r>
        <w:rPr>
          <w:rFonts w:ascii="Arial" w:hAnsi="Arial" w:cs="Arial"/>
          <w:sz w:val="24"/>
          <w:szCs w:val="24"/>
        </w:rPr>
        <w:t>é</w:t>
      </w:r>
      <w:r>
        <w:rPr>
          <w:rFonts w:asciiTheme="minorBidi" w:hAnsiTheme="minorBidi"/>
          <w:sz w:val="24"/>
          <w:szCs w:val="24"/>
        </w:rPr>
        <w:t xml:space="preserve"> une kali</w:t>
      </w:r>
      <w:r>
        <w:rPr>
          <w:rFonts w:ascii="Arial" w:hAnsi="Arial" w:cs="Arial"/>
          <w:sz w:val="24"/>
          <w:szCs w:val="24"/>
        </w:rPr>
        <w:t>é</w:t>
      </w:r>
      <w:r>
        <w:rPr>
          <w:rFonts w:asciiTheme="minorBidi" w:hAnsiTheme="minorBidi"/>
          <w:sz w:val="24"/>
          <w:szCs w:val="24"/>
        </w:rPr>
        <w:t>mie normale ou l</w:t>
      </w:r>
      <w:r>
        <w:rPr>
          <w:rFonts w:ascii="Arial" w:hAnsi="Arial" w:cs="Arial"/>
          <w:sz w:val="24"/>
          <w:szCs w:val="24"/>
        </w:rPr>
        <w:t>é</w:t>
      </w:r>
      <w:r>
        <w:rPr>
          <w:rFonts w:asciiTheme="minorBidi" w:hAnsiTheme="minorBidi"/>
          <w:sz w:val="24"/>
          <w:szCs w:val="24"/>
        </w:rPr>
        <w:t>g</w:t>
      </w:r>
      <w:r>
        <w:rPr>
          <w:rFonts w:ascii="Arial" w:hAnsi="Arial" w:cs="Arial"/>
          <w:sz w:val="24"/>
          <w:szCs w:val="24"/>
        </w:rPr>
        <w:t>è</w:t>
      </w:r>
      <w:r>
        <w:rPr>
          <w:rFonts w:asciiTheme="minorBidi" w:hAnsiTheme="minorBidi"/>
          <w:sz w:val="24"/>
          <w:szCs w:val="24"/>
        </w:rPr>
        <w:t xml:space="preserve">rement </w:t>
      </w:r>
      <w:r>
        <w:rPr>
          <w:rFonts w:ascii="Arial" w:hAnsi="Arial" w:cs="Arial"/>
          <w:sz w:val="24"/>
          <w:szCs w:val="24"/>
        </w:rPr>
        <w:t>é</w:t>
      </w:r>
      <w:r>
        <w:rPr>
          <w:rFonts w:asciiTheme="minorBidi" w:hAnsiTheme="minorBidi"/>
          <w:sz w:val="24"/>
          <w:szCs w:val="24"/>
        </w:rPr>
        <w:t>lev</w:t>
      </w:r>
      <w:r>
        <w:rPr>
          <w:rFonts w:ascii="Arial" w:hAnsi="Arial" w:cs="Arial"/>
          <w:sz w:val="24"/>
          <w:szCs w:val="24"/>
        </w:rPr>
        <w:t>é</w:t>
      </w:r>
      <w:r>
        <w:rPr>
          <w:rFonts w:asciiTheme="minorBidi" w:hAnsiTheme="minorBidi"/>
          <w:sz w:val="24"/>
          <w:szCs w:val="24"/>
        </w:rPr>
        <w:t>e. Ces r</w:t>
      </w:r>
      <w:r>
        <w:rPr>
          <w:rFonts w:ascii="Arial" w:hAnsi="Arial" w:cs="Arial"/>
          <w:sz w:val="24"/>
          <w:szCs w:val="24"/>
        </w:rPr>
        <w:t>é</w:t>
      </w:r>
      <w:r>
        <w:rPr>
          <w:rFonts w:asciiTheme="minorBidi" w:hAnsiTheme="minorBidi"/>
          <w:sz w:val="24"/>
          <w:szCs w:val="24"/>
        </w:rPr>
        <w:t xml:space="preserve">sultats concordent avec ceux rapportés par </w:t>
      </w:r>
      <w:sdt>
        <w:sdtPr>
          <w:rPr>
            <w:rFonts w:asciiTheme="minorBidi" w:hAnsiTheme="minorBidi"/>
            <w:b/>
            <w:bCs/>
            <w:sz w:val="24"/>
            <w:szCs w:val="24"/>
          </w:rPr>
          <w:id w:val="33365900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Sez24 \l 1036 </w:instrText>
          </w:r>
          <w:r>
            <w:rPr>
              <w:rFonts w:asciiTheme="minorBidi" w:hAnsiTheme="minorBidi"/>
              <w:b/>
              <w:bCs/>
              <w:sz w:val="24"/>
              <w:szCs w:val="24"/>
            </w:rPr>
            <w:fldChar w:fldCharType="separate"/>
          </w:r>
          <w:r>
            <w:rPr>
              <w:rFonts w:asciiTheme="minorBidi" w:hAnsiTheme="minorBidi"/>
              <w:b/>
              <w:bCs/>
              <w:sz w:val="24"/>
              <w:szCs w:val="24"/>
            </w:rPr>
            <w:t>(Sezer, 2024)</w:t>
          </w:r>
          <w:r>
            <w:rPr>
              <w:rFonts w:asciiTheme="minorBidi" w:hAnsiTheme="minorBidi"/>
              <w:b/>
              <w:bCs/>
              <w:sz w:val="24"/>
              <w:szCs w:val="24"/>
            </w:rPr>
            <w:fldChar w:fldCharType="end"/>
          </w:r>
        </w:sdtContent>
      </w:sdt>
      <w:r>
        <w:rPr>
          <w:rFonts w:asciiTheme="minorBidi" w:hAnsiTheme="minorBidi"/>
          <w:b/>
          <w:bCs/>
          <w:sz w:val="24"/>
          <w:szCs w:val="24"/>
        </w:rPr>
        <w:t xml:space="preserve"> ),</w:t>
      </w:r>
      <w:r>
        <w:rPr>
          <w:rFonts w:asciiTheme="minorBidi" w:hAnsiTheme="minorBidi"/>
          <w:sz w:val="24"/>
          <w:szCs w:val="24"/>
        </w:rPr>
        <w:t xml:space="preserve"> où une kaliémie ≥ 5 </w:t>
      </w:r>
      <w:proofErr w:type="spellStart"/>
      <w:r>
        <w:rPr>
          <w:rFonts w:asciiTheme="minorBidi" w:hAnsiTheme="minorBidi"/>
          <w:sz w:val="24"/>
          <w:szCs w:val="24"/>
        </w:rPr>
        <w:t>mmol</w:t>
      </w:r>
      <w:proofErr w:type="spellEnd"/>
      <w:r>
        <w:rPr>
          <w:rFonts w:asciiTheme="minorBidi" w:hAnsiTheme="minorBidi"/>
          <w:sz w:val="24"/>
          <w:szCs w:val="24"/>
        </w:rPr>
        <w:t xml:space="preserve">/L et une chlorémie autour de 105 ± 7 </w:t>
      </w:r>
      <w:proofErr w:type="spellStart"/>
      <w:r>
        <w:rPr>
          <w:rFonts w:asciiTheme="minorBidi" w:hAnsiTheme="minorBidi"/>
          <w:sz w:val="24"/>
          <w:szCs w:val="24"/>
        </w:rPr>
        <w:t>mmol</w:t>
      </w:r>
      <w:proofErr w:type="spellEnd"/>
      <w:r>
        <w:rPr>
          <w:rFonts w:asciiTheme="minorBidi" w:hAnsiTheme="minorBidi"/>
          <w:sz w:val="24"/>
          <w:szCs w:val="24"/>
        </w:rPr>
        <w:t>/L constituent des indicateurs précoces de décompensation métabolique et de risque de troubles du rythme cardiaque, même en présence d’une natrémie globalement conservée.</w:t>
      </w:r>
      <w:r>
        <w:rPr>
          <w:rFonts w:asciiTheme="minorBidi" w:hAnsiTheme="minorBidi"/>
          <w:b/>
          <w:bCs/>
          <w:sz w:val="24"/>
          <w:szCs w:val="24"/>
        </w:rPr>
        <w:t xml:space="preserve"> </w:t>
      </w:r>
      <w:sdt>
        <w:sdtPr>
          <w:rPr>
            <w:rFonts w:asciiTheme="minorBidi" w:hAnsiTheme="minorBidi"/>
            <w:b/>
            <w:bCs/>
            <w:sz w:val="24"/>
            <w:szCs w:val="24"/>
          </w:rPr>
          <w:id w:val="180102955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w:t>
      </w:r>
      <w:r>
        <w:rPr>
          <w:rFonts w:asciiTheme="minorBidi" w:hAnsiTheme="minorBidi"/>
          <w:sz w:val="24"/>
          <w:szCs w:val="24"/>
        </w:rPr>
        <w:t xml:space="preserve"> </w:t>
      </w:r>
      <w:sdt>
        <w:sdtPr>
          <w:rPr>
            <w:rFonts w:asciiTheme="minorBidi" w:hAnsiTheme="minorBidi"/>
            <w:b/>
            <w:bCs/>
            <w:sz w:val="24"/>
            <w:szCs w:val="24"/>
          </w:rPr>
          <w:id w:val="21270348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Sez24 \l 1036 </w:instrText>
          </w:r>
          <w:r>
            <w:rPr>
              <w:rFonts w:asciiTheme="minorBidi" w:hAnsiTheme="minorBidi"/>
              <w:b/>
              <w:bCs/>
              <w:sz w:val="24"/>
              <w:szCs w:val="24"/>
            </w:rPr>
            <w:fldChar w:fldCharType="separate"/>
          </w:r>
          <w:r>
            <w:rPr>
              <w:rFonts w:asciiTheme="minorBidi" w:hAnsiTheme="minorBidi"/>
              <w:b/>
              <w:bCs/>
              <w:sz w:val="24"/>
              <w:szCs w:val="24"/>
            </w:rPr>
            <w:t>(Sezer, 2024)</w:t>
          </w:r>
          <w:r>
            <w:rPr>
              <w:rFonts w:asciiTheme="minorBidi" w:hAnsiTheme="minorBidi"/>
              <w:b/>
              <w:bCs/>
              <w:sz w:val="24"/>
              <w:szCs w:val="24"/>
            </w:rPr>
            <w:fldChar w:fldCharType="end"/>
          </w:r>
        </w:sdtContent>
      </w:sdt>
    </w:p>
    <w:p w14:paraId="5C94AE51"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 lactate est significativement plus élevé en réanimation (2,76 ± 0,34 </w:t>
      </w:r>
      <w:proofErr w:type="spellStart"/>
      <w:r>
        <w:rPr>
          <w:rFonts w:asciiTheme="minorBidi" w:hAnsiTheme="minorBidi"/>
          <w:sz w:val="24"/>
          <w:szCs w:val="24"/>
        </w:rPr>
        <w:t>mmol</w:t>
      </w:r>
      <w:proofErr w:type="spellEnd"/>
      <w:r>
        <w:rPr>
          <w:rFonts w:asciiTheme="minorBidi" w:hAnsiTheme="minorBidi"/>
          <w:sz w:val="24"/>
          <w:szCs w:val="24"/>
        </w:rPr>
        <w:t xml:space="preserve">/L vs 1,45 ± 0,39 </w:t>
      </w:r>
      <w:proofErr w:type="spellStart"/>
      <w:r>
        <w:rPr>
          <w:rFonts w:asciiTheme="minorBidi" w:hAnsiTheme="minorBidi"/>
          <w:sz w:val="24"/>
          <w:szCs w:val="24"/>
        </w:rPr>
        <w:t>mmol</w:t>
      </w:r>
      <w:proofErr w:type="spellEnd"/>
      <w:r>
        <w:rPr>
          <w:rFonts w:asciiTheme="minorBidi" w:hAnsiTheme="minorBidi"/>
          <w:sz w:val="24"/>
          <w:szCs w:val="24"/>
        </w:rPr>
        <w:t xml:space="preserve">/L, p &lt; 0,01), ce qui témoigne d’une hypoxie tissulaire mitochondriale et d’une hypoperfusion renforcée par la déshydratation, phénomène décrit dans les travaux de 2022–2024 où un lactate &gt; 2,5 </w:t>
      </w:r>
      <w:proofErr w:type="spellStart"/>
      <w:r>
        <w:rPr>
          <w:rFonts w:asciiTheme="minorBidi" w:hAnsiTheme="minorBidi"/>
          <w:sz w:val="24"/>
          <w:szCs w:val="24"/>
        </w:rPr>
        <w:t>mmol</w:t>
      </w:r>
      <w:proofErr w:type="spellEnd"/>
      <w:r>
        <w:rPr>
          <w:rFonts w:asciiTheme="minorBidi" w:hAnsiTheme="minorBidi"/>
          <w:sz w:val="24"/>
          <w:szCs w:val="24"/>
        </w:rPr>
        <w:t xml:space="preserve">/L est relié au risque de coma et de mortalité, en lien avec une inhibition de la chaîne respiratoire par les cétones. </w:t>
      </w:r>
      <w:sdt>
        <w:sdtPr>
          <w:rPr>
            <w:rFonts w:asciiTheme="minorBidi" w:hAnsiTheme="minorBidi"/>
            <w:sz w:val="24"/>
            <w:szCs w:val="24"/>
          </w:rPr>
          <w:id w:val="-2075271900"/>
        </w:sdtPr>
        <w:sdtEndPr>
          <w:rPr>
            <w:b/>
            <w:bCs/>
          </w:rPr>
        </w:sdtEndPr>
        <w:sdtContent>
          <w:r>
            <w:rPr>
              <w:rFonts w:asciiTheme="minorBidi" w:hAnsiTheme="minorBidi"/>
              <w:b/>
              <w:bCs/>
              <w:sz w:val="24"/>
              <w:szCs w:val="24"/>
            </w:rPr>
            <w:fldChar w:fldCharType="begin"/>
          </w:r>
          <w:r>
            <w:rPr>
              <w:rFonts w:asciiTheme="minorBidi" w:hAnsiTheme="minorBidi"/>
              <w:b/>
              <w:bCs/>
              <w:sz w:val="24"/>
              <w:szCs w:val="24"/>
            </w:rPr>
            <w:instrText xml:space="preserve">CITATION alF22 \l 1036 </w:instrText>
          </w:r>
          <w:r>
            <w:rPr>
              <w:rFonts w:asciiTheme="minorBidi" w:hAnsiTheme="minorBidi"/>
              <w:b/>
              <w:bCs/>
              <w:sz w:val="24"/>
              <w:szCs w:val="24"/>
            </w:rPr>
            <w:fldChar w:fldCharType="separate"/>
          </w:r>
          <w:r>
            <w:rPr>
              <w:rFonts w:asciiTheme="minorBidi" w:hAnsiTheme="minorBidi"/>
              <w:b/>
              <w:bCs/>
              <w:sz w:val="24"/>
              <w:szCs w:val="24"/>
            </w:rPr>
            <w:t>(Fadini, 2022)</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60465796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200758422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Kra24 \l 1036 </w:instrText>
          </w:r>
          <w:r>
            <w:rPr>
              <w:rFonts w:asciiTheme="minorBidi" w:hAnsiTheme="minorBidi"/>
              <w:b/>
              <w:bCs/>
              <w:sz w:val="24"/>
              <w:szCs w:val="24"/>
            </w:rPr>
            <w:fldChar w:fldCharType="separate"/>
          </w:r>
          <w:r>
            <w:rPr>
              <w:rFonts w:asciiTheme="minorBidi" w:hAnsiTheme="minorBidi"/>
              <w:b/>
              <w:bCs/>
              <w:sz w:val="24"/>
              <w:szCs w:val="24"/>
            </w:rPr>
            <w:t>(Kraut JA, 2024)</w:t>
          </w:r>
          <w:r>
            <w:rPr>
              <w:rFonts w:asciiTheme="minorBidi" w:hAnsiTheme="minorBidi"/>
              <w:b/>
              <w:bCs/>
              <w:sz w:val="24"/>
              <w:szCs w:val="24"/>
            </w:rPr>
            <w:fldChar w:fldCharType="end"/>
          </w:r>
        </w:sdtContent>
      </w:sdt>
    </w:p>
    <w:p w14:paraId="4EF03D74"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PaO</w:t>
      </w:r>
      <w:r>
        <w:rPr>
          <w:rFonts w:ascii="Cambria Math" w:hAnsi="Cambria Math" w:cs="Cambria Math"/>
          <w:sz w:val="24"/>
          <w:szCs w:val="24"/>
        </w:rPr>
        <w:t>₂</w:t>
      </w:r>
      <w:r>
        <w:rPr>
          <w:rFonts w:asciiTheme="minorBidi" w:hAnsiTheme="minorBidi"/>
          <w:sz w:val="24"/>
          <w:szCs w:val="24"/>
        </w:rPr>
        <w:t> est élevée dans les deux groupes (≈ 160–165 mmHg, ns), et la PaCO</w:t>
      </w:r>
      <w:r>
        <w:rPr>
          <w:rFonts w:ascii="Cambria Math" w:hAnsi="Cambria Math" w:cs="Cambria Math"/>
          <w:sz w:val="24"/>
          <w:szCs w:val="24"/>
        </w:rPr>
        <w:t>₂</w:t>
      </w:r>
      <w:r>
        <w:rPr>
          <w:rFonts w:asciiTheme="minorBidi" w:hAnsiTheme="minorBidi"/>
          <w:sz w:val="24"/>
          <w:szCs w:val="24"/>
        </w:rPr>
        <w:t> abaissée (≈ 23–27 mmHg, ns), ce qui correspond à une hyperventilation compensatoire (respiration de Kussmaul). Ces profils sont conformes aux études de 2022–2024 où la PaCO</w:t>
      </w:r>
      <w:r>
        <w:rPr>
          <w:rFonts w:ascii="Cambria Math" w:hAnsi="Cambria Math" w:cs="Cambria Math"/>
          <w:sz w:val="24"/>
          <w:szCs w:val="24"/>
        </w:rPr>
        <w:t>₂</w:t>
      </w:r>
      <w:r>
        <w:rPr>
          <w:rFonts w:asciiTheme="minorBidi" w:hAnsiTheme="minorBidi"/>
          <w:sz w:val="24"/>
          <w:szCs w:val="24"/>
        </w:rPr>
        <w:t xml:space="preserve"> &lt; 25 mmHg et une PaO</w:t>
      </w:r>
      <w:r>
        <w:rPr>
          <w:rFonts w:ascii="Cambria Math" w:hAnsi="Cambria Math" w:cs="Cambria Math"/>
          <w:sz w:val="24"/>
          <w:szCs w:val="24"/>
        </w:rPr>
        <w:t>₂</w:t>
      </w:r>
      <w:r>
        <w:rPr>
          <w:rFonts w:asciiTheme="minorBidi" w:hAnsiTheme="minorBidi"/>
          <w:sz w:val="24"/>
          <w:szCs w:val="24"/>
        </w:rPr>
        <w:t xml:space="preserve"> &gt; 150 mmHg signalent une hyperventilation, mais perdent en sp</w:t>
      </w:r>
      <w:r>
        <w:rPr>
          <w:rFonts w:ascii="Arial" w:hAnsi="Arial" w:cs="Arial"/>
          <w:sz w:val="24"/>
          <w:szCs w:val="24"/>
        </w:rPr>
        <w:t>é</w:t>
      </w:r>
      <w:r>
        <w:rPr>
          <w:rFonts w:asciiTheme="minorBidi" w:hAnsiTheme="minorBidi"/>
          <w:sz w:val="24"/>
          <w:szCs w:val="24"/>
        </w:rPr>
        <w:t>cificit</w:t>
      </w:r>
      <w:r>
        <w:rPr>
          <w:rFonts w:ascii="Arial" w:hAnsi="Arial" w:cs="Arial"/>
          <w:sz w:val="24"/>
          <w:szCs w:val="24"/>
        </w:rPr>
        <w:t>é</w:t>
      </w:r>
      <w:r>
        <w:rPr>
          <w:rFonts w:asciiTheme="minorBidi" w:hAnsiTheme="minorBidi"/>
          <w:sz w:val="24"/>
          <w:szCs w:val="24"/>
        </w:rPr>
        <w:t xml:space="preserve"> lorsque le coma survient, car l</w:t>
      </w:r>
      <w:r>
        <w:rPr>
          <w:rFonts w:ascii="Arial" w:hAnsi="Arial" w:cs="Arial"/>
          <w:sz w:val="24"/>
          <w:szCs w:val="24"/>
        </w:rPr>
        <w:t>’é</w:t>
      </w:r>
      <w:r>
        <w:rPr>
          <w:rFonts w:asciiTheme="minorBidi" w:hAnsiTheme="minorBidi"/>
          <w:sz w:val="24"/>
          <w:szCs w:val="24"/>
        </w:rPr>
        <w:t>puisement respiratoire peut entra</w:t>
      </w:r>
      <w:r>
        <w:rPr>
          <w:rFonts w:ascii="Arial" w:hAnsi="Arial" w:cs="Arial"/>
          <w:sz w:val="24"/>
          <w:szCs w:val="24"/>
        </w:rPr>
        <w:t>î</w:t>
      </w:r>
      <w:r>
        <w:rPr>
          <w:rFonts w:asciiTheme="minorBidi" w:hAnsiTheme="minorBidi"/>
          <w:sz w:val="24"/>
          <w:szCs w:val="24"/>
        </w:rPr>
        <w:t>ner une chute de SaO</w:t>
      </w:r>
      <w:r>
        <w:rPr>
          <w:rFonts w:ascii="Cambria Math" w:hAnsi="Cambria Math" w:cs="Cambria Math"/>
          <w:sz w:val="24"/>
          <w:szCs w:val="24"/>
        </w:rPr>
        <w:t>₂</w:t>
      </w:r>
      <w:r>
        <w:rPr>
          <w:rFonts w:asciiTheme="minorBidi" w:hAnsiTheme="minorBidi"/>
          <w:sz w:val="24"/>
          <w:szCs w:val="24"/>
        </w:rPr>
        <w:t xml:space="preserve"> </w:t>
      </w:r>
      <w:sdt>
        <w:sdtPr>
          <w:rPr>
            <w:rFonts w:asciiTheme="minorBidi" w:hAnsiTheme="minorBidi"/>
            <w:b/>
            <w:bCs/>
            <w:sz w:val="24"/>
            <w:szCs w:val="24"/>
          </w:rPr>
          <w:id w:val="61179699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86835828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alU24 \l 1036 </w:instrText>
          </w:r>
          <w:r>
            <w:rPr>
              <w:rFonts w:asciiTheme="minorBidi" w:hAnsiTheme="minorBidi"/>
              <w:b/>
              <w:bCs/>
              <w:sz w:val="24"/>
              <w:szCs w:val="24"/>
            </w:rPr>
            <w:fldChar w:fldCharType="separate"/>
          </w:r>
          <w:r>
            <w:rPr>
              <w:rFonts w:asciiTheme="minorBidi" w:hAnsiTheme="minorBidi"/>
              <w:b/>
              <w:bCs/>
              <w:sz w:val="24"/>
              <w:szCs w:val="24"/>
            </w:rPr>
            <w:t>(GE, 2024)</w:t>
          </w:r>
          <w:r>
            <w:rPr>
              <w:rFonts w:asciiTheme="minorBidi" w:hAnsiTheme="minorBidi"/>
              <w:b/>
              <w:bCs/>
              <w:sz w:val="24"/>
              <w:szCs w:val="24"/>
            </w:rPr>
            <w:fldChar w:fldCharType="end"/>
          </w:r>
        </w:sdtContent>
      </w:sdt>
    </w:p>
    <w:p w14:paraId="717277C9"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fréquence respiratoire (35 ± 6,170 cycles/min en réanimation, 17,93 ± 0,93 en médecine interne, p &lt; 0,05) et la fréquence cardiaque (117,1 ± 7,335 vs 90,71 ± 4,083 bpm, p &lt; 0,05) sont nettement plus élevées en réanimation, valeurs proches de celles décrites dans les séries de 2021–2023 sur les comas DKA, où une tachycardie &gt; 100–110 bpm et une polypnée &gt; 30 cycles/min sont associées à une acidose profonde (pH &lt; 7,25, HCO</w:t>
      </w:r>
      <w:r>
        <w:rPr>
          <w:rFonts w:ascii="Cambria Math" w:hAnsi="Cambria Math" w:cs="Cambria Math"/>
          <w:sz w:val="24"/>
          <w:szCs w:val="24"/>
        </w:rPr>
        <w:t>₃⁻</w:t>
      </w:r>
      <w:r>
        <w:rPr>
          <w:rFonts w:asciiTheme="minorBidi" w:hAnsiTheme="minorBidi"/>
          <w:sz w:val="24"/>
          <w:szCs w:val="24"/>
        </w:rPr>
        <w:t xml:space="preserve"> &lt; 12 </w:t>
      </w:r>
      <w:proofErr w:type="spellStart"/>
      <w:r>
        <w:rPr>
          <w:rFonts w:asciiTheme="minorBidi" w:hAnsiTheme="minorBidi"/>
          <w:sz w:val="24"/>
          <w:szCs w:val="24"/>
        </w:rPr>
        <w:t>mmol</w:t>
      </w:r>
      <w:proofErr w:type="spellEnd"/>
      <w:r>
        <w:rPr>
          <w:rFonts w:asciiTheme="minorBidi" w:hAnsiTheme="minorBidi"/>
          <w:sz w:val="24"/>
          <w:szCs w:val="24"/>
        </w:rPr>
        <w:t xml:space="preserve">/L) et </w:t>
      </w:r>
      <w:r>
        <w:rPr>
          <w:rFonts w:ascii="Arial" w:hAnsi="Arial" w:cs="Arial"/>
          <w:sz w:val="24"/>
          <w:szCs w:val="24"/>
        </w:rPr>
        <w:t>à</w:t>
      </w:r>
      <w:r>
        <w:rPr>
          <w:rFonts w:asciiTheme="minorBidi" w:hAnsiTheme="minorBidi"/>
          <w:sz w:val="24"/>
          <w:szCs w:val="24"/>
        </w:rPr>
        <w:t xml:space="preserve"> un risque augment</w:t>
      </w:r>
      <w:r>
        <w:rPr>
          <w:rFonts w:ascii="Arial" w:hAnsi="Arial" w:cs="Arial"/>
          <w:sz w:val="24"/>
          <w:szCs w:val="24"/>
        </w:rPr>
        <w:t>é</w:t>
      </w:r>
      <w:r>
        <w:rPr>
          <w:rFonts w:asciiTheme="minorBidi" w:hAnsiTheme="minorBidi"/>
          <w:sz w:val="24"/>
          <w:szCs w:val="24"/>
        </w:rPr>
        <w:t xml:space="preserve"> de complications graves </w:t>
      </w:r>
      <w:r>
        <w:rPr>
          <w:rFonts w:asciiTheme="minorBidi" w:hAnsiTheme="minorBidi"/>
          <w:b/>
          <w:bCs/>
          <w:sz w:val="24"/>
          <w:szCs w:val="24"/>
        </w:rPr>
        <w:t xml:space="preserve">(Klingel, 2021) ; </w:t>
      </w:r>
      <w:sdt>
        <w:sdtPr>
          <w:rPr>
            <w:rFonts w:asciiTheme="minorBidi" w:hAnsiTheme="minorBidi"/>
            <w:b/>
            <w:bCs/>
            <w:sz w:val="24"/>
            <w:szCs w:val="24"/>
          </w:rPr>
          <w:id w:val="-151219591"/>
        </w:sdtPr>
        <w:sdtEndPr/>
        <w:sdtContent>
          <w:r>
            <w:rPr>
              <w:rFonts w:asciiTheme="minorBidi" w:hAnsiTheme="minorBidi"/>
              <w:b/>
              <w:bCs/>
              <w:sz w:val="24"/>
              <w:szCs w:val="24"/>
            </w:rPr>
            <w:fldChar w:fldCharType="begin"/>
          </w:r>
          <w:r>
            <w:rPr>
              <w:rFonts w:asciiTheme="minorBidi" w:hAnsiTheme="minorBidi"/>
              <w:b/>
              <w:bCs/>
              <w:sz w:val="24"/>
              <w:szCs w:val="24"/>
            </w:rPr>
            <w:instrText xml:space="preserve">CITATION alP23 \l 1036 </w:instrText>
          </w:r>
          <w:r>
            <w:rPr>
              <w:rFonts w:asciiTheme="minorBidi" w:hAnsiTheme="minorBidi"/>
              <w:b/>
              <w:bCs/>
              <w:sz w:val="24"/>
              <w:szCs w:val="24"/>
            </w:rPr>
            <w:fldChar w:fldCharType="separate"/>
          </w:r>
          <w:r>
            <w:rPr>
              <w:rFonts w:asciiTheme="minorBidi" w:hAnsiTheme="minorBidi"/>
              <w:b/>
              <w:bCs/>
              <w:sz w:val="24"/>
              <w:szCs w:val="24"/>
            </w:rPr>
            <w:t>(Patel, 2023)</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29175005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4F6A4265"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 score de Glasgow est plus faible chez les patients admis en réanimation (10,89 ± 1,02) comparativement à ceux hospitalisés en médecine interne (14,80 ± 0,20), traduisant une altération plus marquée de l’état de conscience dans les formes sévères. Ces </w:t>
      </w:r>
      <w:r>
        <w:rPr>
          <w:rFonts w:asciiTheme="minorBidi" w:hAnsiTheme="minorBidi"/>
          <w:sz w:val="24"/>
          <w:szCs w:val="24"/>
        </w:rPr>
        <w:lastRenderedPageBreak/>
        <w:t>résultats sont cohérents avec ceux rapportés par</w:t>
      </w:r>
      <w:r>
        <w:rPr>
          <w:rFonts w:asciiTheme="minorBidi" w:hAnsiTheme="minorBidi"/>
          <w:b/>
          <w:bCs/>
          <w:sz w:val="24"/>
          <w:szCs w:val="24"/>
        </w:rPr>
        <w:t xml:space="preserve"> </w:t>
      </w:r>
      <w:sdt>
        <w:sdtPr>
          <w:rPr>
            <w:rFonts w:asciiTheme="minorBidi" w:hAnsiTheme="minorBidi"/>
            <w:b/>
            <w:bCs/>
            <w:sz w:val="24"/>
            <w:szCs w:val="24"/>
          </w:rPr>
          <w:id w:val="-1202400609"/>
        </w:sdtPr>
        <w:sdtEndPr>
          <w:rPr>
            <w:b w:val="0"/>
            <w:bCs w:val="0"/>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Aly25 \l 1036 </w:instrText>
          </w:r>
          <w:r>
            <w:rPr>
              <w:rFonts w:asciiTheme="minorBidi" w:hAnsiTheme="minorBidi"/>
              <w:b/>
              <w:bCs/>
              <w:sz w:val="24"/>
              <w:szCs w:val="24"/>
            </w:rPr>
            <w:fldChar w:fldCharType="separate"/>
          </w:r>
          <w:r>
            <w:rPr>
              <w:rFonts w:asciiTheme="minorBidi" w:hAnsiTheme="minorBidi"/>
              <w:b/>
              <w:bCs/>
              <w:sz w:val="24"/>
              <w:szCs w:val="24"/>
            </w:rPr>
            <w:t xml:space="preserve"> (Alyahyawi, 2025)</w:t>
          </w:r>
          <w:r>
            <w:rPr>
              <w:rFonts w:asciiTheme="minorBidi" w:hAnsiTheme="minorBidi"/>
              <w:b/>
              <w:bCs/>
              <w:sz w:val="24"/>
              <w:szCs w:val="24"/>
            </w:rPr>
            <w:fldChar w:fldCharType="end"/>
          </w:r>
        </w:sdtContent>
      </w:sdt>
      <w:r>
        <w:rPr>
          <w:rFonts w:asciiTheme="minorBidi" w:hAnsiTheme="minorBidi"/>
          <w:sz w:val="24"/>
          <w:szCs w:val="24"/>
        </w:rPr>
        <w:t xml:space="preserve"> , où un score de Glasgow inférieur à 15 est fréquemment associé à une acidocétose diabétique compliquée et à un risque accru de coma.</w:t>
      </w:r>
      <w:r>
        <w:rPr>
          <w:rFonts w:asciiTheme="minorBidi" w:hAnsiTheme="minorBidi"/>
          <w:b/>
          <w:bCs/>
          <w:sz w:val="24"/>
          <w:szCs w:val="24"/>
        </w:rPr>
        <w:t xml:space="preserve"> </w:t>
      </w:r>
      <w:sdt>
        <w:sdtPr>
          <w:rPr>
            <w:rFonts w:asciiTheme="minorBidi" w:hAnsiTheme="minorBidi"/>
            <w:b/>
            <w:bCs/>
            <w:sz w:val="24"/>
            <w:szCs w:val="24"/>
          </w:rPr>
          <w:id w:val="934711295"/>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3A81F795"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La température ne diffère pas significativement entre les deux groupes (≈ 37,2 °C ; p = ns), ce qui suggère que la fièvre, bien qu’elle puisse être associée à un facteur déclenchant tel qu’une infection, ne constitue pas un marqueur direct de la gravité du coma au cours de l’acidocétose diabétique. Elle représente plutôt un indicateur de la présence d’un processus infectieux sous-jacent, comme dans le cas du sepsis, où la température corporelle peut varier largement (≈ 33–39 °C). </w:t>
      </w:r>
      <w:sdt>
        <w:sdtPr>
          <w:rPr>
            <w:rFonts w:asciiTheme="minorBidi" w:hAnsiTheme="minorBidi"/>
            <w:b/>
            <w:bCs/>
            <w:sz w:val="24"/>
            <w:szCs w:val="24"/>
          </w:rPr>
          <w:id w:val="112803966"/>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Bla19 \l 1036 </w:instrText>
          </w:r>
          <w:r>
            <w:rPr>
              <w:rFonts w:asciiTheme="minorBidi" w:hAnsiTheme="minorBidi"/>
              <w:b/>
              <w:bCs/>
              <w:sz w:val="24"/>
              <w:szCs w:val="24"/>
            </w:rPr>
            <w:fldChar w:fldCharType="separate"/>
          </w:r>
          <w:r>
            <w:rPr>
              <w:rFonts w:asciiTheme="minorBidi" w:hAnsiTheme="minorBidi"/>
              <w:b/>
              <w:bCs/>
              <w:sz w:val="24"/>
              <w:szCs w:val="24"/>
            </w:rPr>
            <w:t>(Blanchard, 2019)</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72891953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2703CF45"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La tension artérielle systolique (102,4 ± 5,1 mmHg vs 113,2 ± 2,8 mmHg) et diastolique est plus basse chez les patients en réanimation (62,35 ± 2,35 mmHg vs 68,42 ± 1,75 mmHg ; p &lt; 0,05), traduisant une hypotension plus marquée. Cette diminution tensionnelle s’explique par la déshydratation sévère et l’hypovolémie observées au cours de l’acidocétose diabétique. Ces résultats sont concordants avec les données récentes (2024) rapportant des valeurs moyennes d’environ 108 mmHg pour la pression systolique et 64</w:t>
      </w:r>
      <w:r>
        <w:rPr>
          <w:rFonts w:asciiTheme="minorBidi" w:hAnsiTheme="minorBidi"/>
          <w:sz w:val="24"/>
          <w:szCs w:val="24"/>
        </w:rPr>
        <w:t xml:space="preserve"> mmHg pour la pression diastolique, où l’hypotension associée à la tachycardie constitue un marqueur de gravité et un facteur de risque de complications rénales et neurologiques.</w:t>
      </w:r>
      <w:r>
        <w:rPr>
          <w:rFonts w:asciiTheme="minorBidi" w:hAnsiTheme="minorBidi"/>
          <w:b/>
          <w:bCs/>
          <w:sz w:val="24"/>
          <w:szCs w:val="24"/>
        </w:rPr>
        <w:t xml:space="preserve"> </w:t>
      </w:r>
      <w:sdt>
        <w:sdtPr>
          <w:rPr>
            <w:rFonts w:asciiTheme="minorBidi" w:hAnsiTheme="minorBidi"/>
            <w:b/>
            <w:bCs/>
            <w:sz w:val="24"/>
            <w:szCs w:val="24"/>
          </w:rPr>
          <w:id w:val="-802622094"/>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w:t>
      </w:r>
      <w:r>
        <w:rPr>
          <w:rFonts w:asciiTheme="minorBidi" w:hAnsiTheme="minorBidi"/>
          <w:sz w:val="24"/>
          <w:szCs w:val="24"/>
        </w:rPr>
        <w:t xml:space="preserve"> </w:t>
      </w:r>
      <w:sdt>
        <w:sdtPr>
          <w:rPr>
            <w:rFonts w:asciiTheme="minorBidi" w:hAnsiTheme="minorBidi"/>
            <w:b/>
            <w:bCs/>
            <w:sz w:val="24"/>
            <w:szCs w:val="24"/>
          </w:rPr>
          <w:id w:val="-170316820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Kra241 \l 1036 </w:instrText>
          </w:r>
          <w:r>
            <w:rPr>
              <w:rFonts w:asciiTheme="minorBidi" w:hAnsiTheme="minorBidi"/>
              <w:b/>
              <w:bCs/>
              <w:sz w:val="24"/>
              <w:szCs w:val="24"/>
            </w:rPr>
            <w:fldChar w:fldCharType="separate"/>
          </w:r>
          <w:r>
            <w:rPr>
              <w:rFonts w:asciiTheme="minorBidi" w:hAnsiTheme="minorBidi"/>
              <w:b/>
              <w:bCs/>
              <w:sz w:val="24"/>
              <w:szCs w:val="24"/>
            </w:rPr>
            <w:t>(Krausova, 2024)</w:t>
          </w:r>
          <w:r>
            <w:rPr>
              <w:rFonts w:asciiTheme="minorBidi" w:hAnsiTheme="minorBidi"/>
              <w:b/>
              <w:bCs/>
              <w:sz w:val="24"/>
              <w:szCs w:val="24"/>
            </w:rPr>
            <w:fldChar w:fldCharType="end"/>
          </w:r>
        </w:sdtContent>
      </w:sdt>
    </w:p>
    <w:p w14:paraId="58335020"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Les paramètres hépatiques montrent une élévation des transaminases chez les patients en réanimation (ASAT : 42,38 ± 18,81 U/L ; ALAT : 89,82 ± 56,54 U/L ; p &lt; 0,05), traduisant une cytolyse hépatique plus marquée. Ces valeurs sont supérieures à celles rapportées dans une étude où les taux initiaux étaient plus faibles (ASAT : 12 U/L ; ALAT : 18 U/L) mais augmentaient après l’hospitalisation pour atteindre des valeurs &gt; 50 U/L. Cette élévation des enzymes hépatiques peut être liée à la sévérité de l’acidocét</w:t>
      </w:r>
      <w:r>
        <w:rPr>
          <w:rFonts w:asciiTheme="minorBidi" w:hAnsiTheme="minorBidi"/>
          <w:sz w:val="24"/>
          <w:szCs w:val="24"/>
        </w:rPr>
        <w:t>ose diabétique, à l’hypoperfusion hépatique et au stress métabolique, pouvant s’intégrer dans un contexte de souffrance hépatique associée à une atteinte multiviscérale.</w:t>
      </w:r>
      <w:sdt>
        <w:sdtPr>
          <w:rPr>
            <w:rFonts w:asciiTheme="minorBidi" w:hAnsiTheme="minorBidi"/>
            <w:b/>
            <w:bCs/>
            <w:sz w:val="24"/>
            <w:szCs w:val="24"/>
          </w:rPr>
          <w:id w:val="33773782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Zub20 \l 1036 </w:instrText>
          </w:r>
          <w:r>
            <w:rPr>
              <w:rFonts w:asciiTheme="minorBidi" w:hAnsiTheme="minorBidi"/>
              <w:b/>
              <w:bCs/>
              <w:sz w:val="24"/>
              <w:szCs w:val="24"/>
            </w:rPr>
            <w:fldChar w:fldCharType="separate"/>
          </w:r>
          <w:r>
            <w:rPr>
              <w:rFonts w:asciiTheme="minorBidi" w:hAnsiTheme="minorBidi"/>
              <w:b/>
              <w:bCs/>
              <w:sz w:val="24"/>
              <w:szCs w:val="24"/>
            </w:rPr>
            <w:t xml:space="preserve"> (Zubkiewicz-Kucharska, 2020)</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98881382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4395AF18"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Les paramètres rénaux (urée : 0,948 ± 0,218 g/L ; créatinine : 15,78 ± 2,155 mg/L en réanimation ; p &lt; 0,05) dépassent les valeurs normales, ce qui confirme une insuffisance </w:t>
      </w:r>
      <w:r>
        <w:rPr>
          <w:rFonts w:asciiTheme="minorBidi" w:hAnsiTheme="minorBidi"/>
          <w:sz w:val="24"/>
          <w:szCs w:val="24"/>
        </w:rPr>
        <w:lastRenderedPageBreak/>
        <w:t xml:space="preserve">rénale aiguë fonctionnelle liée à la déshydratation et augmente la viscosité sanguine conduisant à l’hypoperfusion cérébrale, comme décrit dans les travaux de 2020-2024, où l’urée est d’environ 4,6 </w:t>
      </w:r>
      <w:proofErr w:type="spellStart"/>
      <w:r>
        <w:rPr>
          <w:rFonts w:asciiTheme="minorBidi" w:hAnsiTheme="minorBidi"/>
          <w:sz w:val="24"/>
          <w:szCs w:val="24"/>
        </w:rPr>
        <w:t>mmol</w:t>
      </w:r>
      <w:proofErr w:type="spellEnd"/>
      <w:r>
        <w:rPr>
          <w:rFonts w:asciiTheme="minorBidi" w:hAnsiTheme="minorBidi"/>
          <w:sz w:val="24"/>
          <w:szCs w:val="24"/>
        </w:rPr>
        <w:t>/L et une créatinine à 6 mg/dl prédit un risque accru de complications et de mortalité.</w:t>
      </w:r>
      <w:r>
        <w:rPr>
          <w:rFonts w:asciiTheme="minorBidi" w:hAnsiTheme="minorBidi"/>
          <w:b/>
          <w:bCs/>
          <w:sz w:val="24"/>
          <w:szCs w:val="24"/>
        </w:rPr>
        <w:t xml:space="preserve"> </w:t>
      </w:r>
      <w:sdt>
        <w:sdtPr>
          <w:rPr>
            <w:rFonts w:asciiTheme="minorBidi" w:hAnsiTheme="minorBidi"/>
            <w:b/>
            <w:bCs/>
            <w:sz w:val="24"/>
            <w:szCs w:val="24"/>
          </w:rPr>
          <w:id w:val="-1724749342"/>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Azo20 \l 1036 </w:instrText>
          </w:r>
          <w:r>
            <w:rPr>
              <w:rFonts w:asciiTheme="minorBidi" w:hAnsiTheme="minorBidi"/>
              <w:b/>
              <w:bCs/>
              <w:sz w:val="24"/>
              <w:szCs w:val="24"/>
            </w:rPr>
            <w:fldChar w:fldCharType="separate"/>
          </w:r>
          <w:r>
            <w:rPr>
              <w:rFonts w:asciiTheme="minorBidi" w:hAnsiTheme="minorBidi"/>
              <w:b/>
              <w:bCs/>
              <w:sz w:val="24"/>
              <w:szCs w:val="24"/>
            </w:rPr>
            <w:t>(Azova, 2020)</w:t>
          </w:r>
          <w:r>
            <w:rPr>
              <w:rFonts w:asciiTheme="minorBidi" w:hAnsiTheme="minorBidi"/>
              <w:b/>
              <w:bCs/>
              <w:sz w:val="24"/>
              <w:szCs w:val="24"/>
            </w:rPr>
            <w:fldChar w:fldCharType="end"/>
          </w:r>
        </w:sdtContent>
      </w:sdt>
      <w:r>
        <w:rPr>
          <w:rFonts w:asciiTheme="minorBidi" w:hAnsiTheme="minorBidi"/>
          <w:b/>
          <w:bCs/>
          <w:sz w:val="24"/>
          <w:szCs w:val="24"/>
        </w:rPr>
        <w:t> ;</w:t>
      </w:r>
      <w:sdt>
        <w:sdtPr>
          <w:rPr>
            <w:rFonts w:asciiTheme="minorBidi" w:hAnsiTheme="minorBidi"/>
            <w:b/>
            <w:bCs/>
            <w:sz w:val="24"/>
            <w:szCs w:val="24"/>
          </w:rPr>
          <w:id w:val="160137612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w:t>
      </w:r>
      <w:r>
        <w:rPr>
          <w:rFonts w:asciiTheme="minorBidi" w:hAnsiTheme="minorBidi"/>
          <w:sz w:val="24"/>
          <w:szCs w:val="24"/>
        </w:rPr>
        <w:t xml:space="preserve">; </w:t>
      </w:r>
      <w:sdt>
        <w:sdtPr>
          <w:rPr>
            <w:rFonts w:asciiTheme="minorBidi" w:hAnsiTheme="minorBidi"/>
            <w:b/>
            <w:bCs/>
            <w:sz w:val="24"/>
            <w:szCs w:val="24"/>
          </w:rPr>
          <w:id w:val="1996214769"/>
        </w:sdtPr>
        <w:sdtEndPr>
          <w:rPr>
            <w:b w:val="0"/>
            <w:bCs w:val="0"/>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Kra241 \l 1036 </w:instrText>
          </w:r>
          <w:r>
            <w:rPr>
              <w:rFonts w:asciiTheme="minorBidi" w:hAnsiTheme="minorBidi"/>
              <w:b/>
              <w:bCs/>
              <w:sz w:val="24"/>
              <w:szCs w:val="24"/>
            </w:rPr>
            <w:fldChar w:fldCharType="separate"/>
          </w:r>
          <w:r>
            <w:rPr>
              <w:rFonts w:asciiTheme="minorBidi" w:hAnsiTheme="minorBidi"/>
              <w:b/>
              <w:bCs/>
              <w:sz w:val="24"/>
              <w:szCs w:val="24"/>
            </w:rPr>
            <w:t>(Krausova, 2024)</w:t>
          </w:r>
          <w:r>
            <w:rPr>
              <w:rFonts w:asciiTheme="minorBidi" w:hAnsiTheme="minorBidi"/>
              <w:b/>
              <w:bCs/>
              <w:sz w:val="24"/>
              <w:szCs w:val="24"/>
            </w:rPr>
            <w:fldChar w:fldCharType="end"/>
          </w:r>
        </w:sdtContent>
      </w:sdt>
      <w:r>
        <w:rPr>
          <w:rFonts w:asciiTheme="minorBidi" w:hAnsiTheme="minorBidi"/>
          <w:sz w:val="24"/>
          <w:szCs w:val="24"/>
        </w:rPr>
        <w:t xml:space="preserve">. </w:t>
      </w:r>
    </w:p>
    <w:p w14:paraId="606B12E5"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Les triglycérides sont légèrement élevés en réanimation (1,916 ± 0,403 g/L, p &gt; 0,05), ce qui suggère un déséquilibre lipidique lié au déficit en insuline, en accord avec les études de 2023–2025 sur les perturbations lipidiques en DKA, où l’élévation des triglycérides et la baisse relative du cholestérol reflètent une libération excessive des acides gras et une altération du métabolisme énergétique </w:t>
      </w:r>
      <w:sdt>
        <w:sdtPr>
          <w:rPr>
            <w:rFonts w:asciiTheme="minorBidi" w:hAnsiTheme="minorBidi"/>
            <w:b/>
            <w:bCs/>
            <w:sz w:val="24"/>
            <w:szCs w:val="24"/>
          </w:rPr>
          <w:id w:val="52437660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alU24 \l 1036 </w:instrText>
          </w:r>
          <w:r>
            <w:rPr>
              <w:rFonts w:asciiTheme="minorBidi" w:hAnsiTheme="minorBidi"/>
              <w:b/>
              <w:bCs/>
              <w:sz w:val="24"/>
              <w:szCs w:val="24"/>
            </w:rPr>
            <w:fldChar w:fldCharType="separate"/>
          </w:r>
          <w:r>
            <w:rPr>
              <w:rFonts w:asciiTheme="minorBidi" w:hAnsiTheme="minorBidi"/>
              <w:b/>
              <w:bCs/>
              <w:sz w:val="24"/>
              <w:szCs w:val="24"/>
            </w:rPr>
            <w:t>(GE, 2024)</w:t>
          </w:r>
          <w:r>
            <w:rPr>
              <w:rFonts w:asciiTheme="minorBidi" w:hAnsiTheme="minorBidi"/>
              <w:b/>
              <w:bCs/>
              <w:sz w:val="24"/>
              <w:szCs w:val="24"/>
            </w:rPr>
            <w:fldChar w:fldCharType="end"/>
          </w:r>
        </w:sdtContent>
      </w:sdt>
      <w:r>
        <w:rPr>
          <w:rFonts w:asciiTheme="minorBidi" w:hAnsiTheme="minorBidi"/>
          <w:b/>
          <w:bCs/>
          <w:sz w:val="24"/>
          <w:szCs w:val="24"/>
        </w:rPr>
        <w:t>,</w:t>
      </w:r>
      <w:r>
        <w:rPr>
          <w:rFonts w:asciiTheme="minorBidi" w:hAnsiTheme="minorBidi"/>
          <w:sz w:val="24"/>
          <w:szCs w:val="24"/>
        </w:rPr>
        <w:t>Ces profils sont cohérents avec ceux de tes patients, confirmant un déséquilibre métabolique global associé à l’acidocétose.</w:t>
      </w:r>
      <w:sdt>
        <w:sdtPr>
          <w:rPr>
            <w:rFonts w:asciiTheme="minorBidi" w:hAnsiTheme="minorBidi"/>
            <w:b/>
            <w:bCs/>
            <w:sz w:val="24"/>
            <w:szCs w:val="24"/>
          </w:rPr>
          <w:id w:val="-315032830"/>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Mro23 \l 1036 </w:instrText>
          </w:r>
          <w:r>
            <w:rPr>
              <w:rFonts w:asciiTheme="minorBidi" w:hAnsiTheme="minorBidi"/>
              <w:b/>
              <w:bCs/>
              <w:sz w:val="24"/>
              <w:szCs w:val="24"/>
            </w:rPr>
            <w:fldChar w:fldCharType="separate"/>
          </w:r>
          <w:r>
            <w:rPr>
              <w:rFonts w:asciiTheme="minorBidi" w:hAnsiTheme="minorBidi"/>
              <w:b/>
              <w:bCs/>
              <w:sz w:val="24"/>
              <w:szCs w:val="24"/>
            </w:rPr>
            <w:t xml:space="preserve"> (Mrozikiewicz-Rakowska,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208297291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203523493"/>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Bel25 \l 1036 </w:instrText>
          </w:r>
          <w:r>
            <w:rPr>
              <w:rFonts w:asciiTheme="minorBidi" w:hAnsiTheme="minorBidi"/>
              <w:b/>
              <w:bCs/>
              <w:sz w:val="24"/>
              <w:szCs w:val="24"/>
            </w:rPr>
            <w:fldChar w:fldCharType="separate"/>
          </w:r>
          <w:r>
            <w:rPr>
              <w:rFonts w:asciiTheme="minorBidi" w:hAnsiTheme="minorBidi"/>
              <w:b/>
              <w:bCs/>
              <w:sz w:val="24"/>
              <w:szCs w:val="24"/>
            </w:rPr>
            <w:t>(Bellomo, 2025)</w:t>
          </w:r>
          <w:r>
            <w:rPr>
              <w:rFonts w:asciiTheme="minorBidi" w:hAnsiTheme="minorBidi"/>
              <w:b/>
              <w:bCs/>
              <w:sz w:val="24"/>
              <w:szCs w:val="24"/>
            </w:rPr>
            <w:fldChar w:fldCharType="end"/>
          </w:r>
        </w:sdtContent>
      </w:sdt>
    </w:p>
    <w:p w14:paraId="06C0B99B"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La CRP est significativement plus élevée en réanimation (64,43 ± 26,98 mg/L vs 50,95 ± 16,88 mg/L, p &lt; 0,05), ce qui traduit un état inflammatoire systémique marqué, souvent lié à une infection déclenchante ou au stress métabolique, en cohérence avec les séries de 2022–2024 où des niveaux de CRP 32.27 ± 35.48g/L sont associés à un risque accru de complications et de mortalité en DKA sévère </w:t>
      </w:r>
      <w:sdt>
        <w:sdtPr>
          <w:rPr>
            <w:rFonts w:asciiTheme="minorBidi" w:hAnsiTheme="minorBidi"/>
            <w:b/>
            <w:bCs/>
            <w:sz w:val="24"/>
            <w:szCs w:val="24"/>
          </w:rPr>
          <w:id w:val="174652691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Gha20 \l 1036 </w:instrText>
          </w:r>
          <w:r>
            <w:rPr>
              <w:rFonts w:asciiTheme="minorBidi" w:hAnsiTheme="minorBidi"/>
              <w:b/>
              <w:bCs/>
              <w:sz w:val="24"/>
              <w:szCs w:val="24"/>
            </w:rPr>
            <w:fldChar w:fldCharType="separate"/>
          </w:r>
          <w:r>
            <w:rPr>
              <w:rFonts w:asciiTheme="minorBidi" w:hAnsiTheme="minorBidi"/>
              <w:b/>
              <w:bCs/>
              <w:sz w:val="24"/>
              <w:szCs w:val="24"/>
            </w:rPr>
            <w:t>(Ghada A. Mohamed, 2020)</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95432097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2A9D1DB1"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Le taux de prothrombine (TP) est significativement diminué en réanimation (63,4 ± 2,45 % vs 79,38 ± 3,76 % ; p &lt; 0,05), traduisant un ralentissement de la coagulation. Cette altération est probablement liée à une atteinte hépatique et à une carence en vitamine K. Ces résultats sont en accord avec les données rapportées par </w:t>
      </w:r>
      <w:sdt>
        <w:sdtPr>
          <w:rPr>
            <w:rFonts w:asciiTheme="minorBidi" w:hAnsiTheme="minorBidi"/>
            <w:b/>
            <w:bCs/>
            <w:sz w:val="24"/>
            <w:szCs w:val="24"/>
          </w:rPr>
          <w:id w:val="-1645262043"/>
        </w:sdtPr>
        <w:sdtEndPr/>
        <w:sdtContent>
          <w:r>
            <w:rPr>
              <w:rFonts w:asciiTheme="minorBidi" w:hAnsiTheme="minorBidi"/>
              <w:b/>
              <w:bCs/>
              <w:sz w:val="24"/>
              <w:szCs w:val="24"/>
            </w:rPr>
            <w:fldChar w:fldCharType="begin"/>
          </w:r>
          <w:r>
            <w:rPr>
              <w:rFonts w:asciiTheme="minorBidi" w:hAnsiTheme="minorBidi"/>
              <w:b/>
              <w:bCs/>
              <w:sz w:val="24"/>
              <w:szCs w:val="24"/>
            </w:rPr>
            <w:instrText xml:space="preserve">CITATION Ooi21 \l 1036 </w:instrText>
          </w:r>
          <w:r>
            <w:rPr>
              <w:rFonts w:asciiTheme="minorBidi" w:hAnsiTheme="minorBidi"/>
              <w:b/>
              <w:bCs/>
              <w:sz w:val="24"/>
              <w:szCs w:val="24"/>
            </w:rPr>
            <w:fldChar w:fldCharType="separate"/>
          </w:r>
          <w:r>
            <w:rPr>
              <w:rFonts w:asciiTheme="minorBidi" w:hAnsiTheme="minorBidi"/>
              <w:b/>
              <w:bCs/>
              <w:sz w:val="24"/>
              <w:szCs w:val="24"/>
            </w:rPr>
            <w:t>(Ooi E, 2021)</w:t>
          </w:r>
          <w:r>
            <w:rPr>
              <w:rFonts w:asciiTheme="minorBidi" w:hAnsiTheme="minorBidi"/>
              <w:b/>
              <w:bCs/>
              <w:sz w:val="24"/>
              <w:szCs w:val="24"/>
            </w:rPr>
            <w:fldChar w:fldCharType="end"/>
          </w:r>
        </w:sdtContent>
      </w:sdt>
      <w:r>
        <w:rPr>
          <w:rFonts w:asciiTheme="minorBidi" w:eastAsia="Times New Roman" w:hAnsiTheme="minorBidi"/>
          <w:kern w:val="0"/>
          <w:sz w:val="24"/>
          <w:szCs w:val="24"/>
          <w:lang w:eastAsia="fr-FR"/>
          <w14:ligatures w14:val="none"/>
        </w:rPr>
        <w:t xml:space="preserve"> </w:t>
      </w:r>
      <w:r>
        <w:rPr>
          <w:rFonts w:asciiTheme="minorBidi" w:hAnsiTheme="minorBidi"/>
          <w:sz w:val="24"/>
          <w:szCs w:val="24"/>
        </w:rPr>
        <w:t>, montrant qu’une diminution du TP (&lt; 70 %) est fréquemment observée dans les formes sévères d’acidocétose diabétique, notamment en association avec une cytolyse hépatique et une atteinte rénale.</w:t>
      </w:r>
      <w:r>
        <w:rPr>
          <w:rFonts w:asciiTheme="minorBidi" w:hAnsiTheme="minorBidi"/>
          <w:b/>
          <w:bCs/>
          <w:sz w:val="24"/>
          <w:szCs w:val="24"/>
        </w:rPr>
        <w:t xml:space="preserve"> </w:t>
      </w:r>
      <w:sdt>
        <w:sdtPr>
          <w:rPr>
            <w:rFonts w:asciiTheme="minorBidi" w:hAnsiTheme="minorBidi"/>
            <w:b/>
            <w:bCs/>
            <w:sz w:val="24"/>
            <w:szCs w:val="24"/>
          </w:rPr>
          <w:id w:val="808897627"/>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r>
        <w:rPr>
          <w:rFonts w:asciiTheme="minorBidi" w:hAnsiTheme="minorBidi"/>
          <w:sz w:val="24"/>
          <w:szCs w:val="24"/>
        </w:rPr>
        <w:t xml:space="preserve"> ; </w:t>
      </w:r>
      <w:sdt>
        <w:sdtPr>
          <w:rPr>
            <w:rFonts w:asciiTheme="minorBidi" w:hAnsiTheme="minorBidi"/>
            <w:sz w:val="24"/>
            <w:szCs w:val="24"/>
          </w:rPr>
          <w:id w:val="-1081129528"/>
        </w:sdtPr>
        <w:sdtEndPr/>
        <w:sdtContent>
          <w:r>
            <w:rPr>
              <w:rFonts w:asciiTheme="minorBidi" w:hAnsiTheme="minorBidi"/>
              <w:sz w:val="24"/>
              <w:szCs w:val="24"/>
            </w:rPr>
            <w:fldChar w:fldCharType="begin"/>
          </w:r>
          <w:r>
            <w:rPr>
              <w:rFonts w:asciiTheme="minorBidi" w:hAnsiTheme="minorBidi"/>
              <w:sz w:val="24"/>
              <w:szCs w:val="24"/>
            </w:rPr>
            <w:instrText xml:space="preserve">CITATION Ann24 \l 1036 </w:instrText>
          </w:r>
          <w:r>
            <w:rPr>
              <w:rFonts w:asciiTheme="minorBidi" w:hAnsiTheme="minorBidi"/>
              <w:sz w:val="24"/>
              <w:szCs w:val="24"/>
            </w:rPr>
            <w:fldChar w:fldCharType="separate"/>
          </w:r>
          <w:r>
            <w:rPr>
              <w:rFonts w:asciiTheme="minorBidi" w:hAnsiTheme="minorBidi"/>
              <w:sz w:val="24"/>
              <w:szCs w:val="24"/>
            </w:rPr>
            <w:t>(</w:t>
          </w:r>
          <w:r>
            <w:rPr>
              <w:rFonts w:asciiTheme="minorBidi" w:hAnsiTheme="minorBidi"/>
              <w:b/>
              <w:bCs/>
              <w:sz w:val="24"/>
              <w:szCs w:val="24"/>
            </w:rPr>
            <w:t>Klingele M, 2024</w:t>
          </w:r>
          <w:r>
            <w:rPr>
              <w:rFonts w:asciiTheme="minorBidi" w:hAnsiTheme="minorBidi"/>
              <w:sz w:val="24"/>
              <w:szCs w:val="24"/>
            </w:rPr>
            <w:t>)</w:t>
          </w:r>
          <w:r>
            <w:rPr>
              <w:rFonts w:asciiTheme="minorBidi" w:hAnsiTheme="minorBidi"/>
              <w:sz w:val="24"/>
              <w:szCs w:val="24"/>
            </w:rPr>
            <w:fldChar w:fldCharType="end"/>
          </w:r>
        </w:sdtContent>
      </w:sdt>
    </w:p>
    <w:p w14:paraId="6888D37C"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Les globules rouges (4,62 ± 0,26 ×10⁶/mm³ en réanimation vs 5,042 ± 0,22 ×10⁶/mm³ ; p &gt; 0,05) et l’hémoglobine (13,33 ± 0,71 g/dl vs 13,85 ± 0,44 g/dl ; p &gt; 0,05) montrent des valeurs légèrement inférieures en réanimation, mais restant dans les normes physiologiques. Ces résultats sont en accord avec les données de la littérature</w:t>
      </w:r>
      <w:sdt>
        <w:sdtPr>
          <w:rPr>
            <w:rFonts w:asciiTheme="minorBidi" w:hAnsiTheme="minorBidi"/>
            <w:sz w:val="24"/>
            <w:szCs w:val="24"/>
          </w:rPr>
          <w:id w:val="-1147359663"/>
        </w:sdtPr>
        <w:sdtEndPr>
          <w:rPr>
            <w:b/>
            <w:bCs/>
          </w:r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Gha20 \l 1036 </w:instrText>
          </w:r>
          <w:r>
            <w:rPr>
              <w:rFonts w:asciiTheme="minorBidi" w:hAnsiTheme="minorBidi"/>
              <w:b/>
              <w:bCs/>
              <w:sz w:val="24"/>
              <w:szCs w:val="24"/>
            </w:rPr>
            <w:fldChar w:fldCharType="separate"/>
          </w:r>
          <w:r>
            <w:rPr>
              <w:rFonts w:asciiTheme="minorBidi" w:hAnsiTheme="minorBidi"/>
              <w:b/>
              <w:bCs/>
              <w:sz w:val="24"/>
              <w:szCs w:val="24"/>
            </w:rPr>
            <w:t xml:space="preserve"> (Ghada A. Mohamed, 2020)</w:t>
          </w:r>
          <w:r>
            <w:rPr>
              <w:rFonts w:asciiTheme="minorBidi" w:hAnsiTheme="minorBidi"/>
              <w:b/>
              <w:bCs/>
              <w:sz w:val="24"/>
              <w:szCs w:val="24"/>
            </w:rPr>
            <w:fldChar w:fldCharType="end"/>
          </w:r>
        </w:sdtContent>
      </w:sdt>
      <w:r>
        <w:rPr>
          <w:rFonts w:asciiTheme="minorBidi" w:hAnsiTheme="minorBidi"/>
          <w:b/>
          <w:bCs/>
          <w:sz w:val="24"/>
          <w:szCs w:val="24"/>
        </w:rPr>
        <w:t>,</w:t>
      </w:r>
      <w:r>
        <w:rPr>
          <w:rFonts w:asciiTheme="minorBidi" w:hAnsiTheme="minorBidi"/>
          <w:sz w:val="24"/>
          <w:szCs w:val="24"/>
        </w:rPr>
        <w:t xml:space="preserve"> où les valeurs moyennes des globules rouges avoisinent 4,9 </w:t>
      </w:r>
      <w:r>
        <w:rPr>
          <w:rFonts w:asciiTheme="minorBidi" w:hAnsiTheme="minorBidi"/>
          <w:sz w:val="24"/>
          <w:szCs w:val="24"/>
        </w:rPr>
        <w:lastRenderedPageBreak/>
        <w:t>×10⁶/mm³ et l’hémoglobine entre 11,9 et 13 g/dl, sans différence significative entre formes graves et non graves, confirmant leur rôle limité comme marqueurs de gravité ou de coma.</w:t>
      </w:r>
      <w:r>
        <w:rPr>
          <w:rFonts w:asciiTheme="minorBidi" w:hAnsiTheme="minorBidi"/>
          <w:b/>
          <w:bCs/>
          <w:sz w:val="24"/>
          <w:szCs w:val="24"/>
        </w:rPr>
        <w:t xml:space="preserve"> </w:t>
      </w:r>
      <w:sdt>
        <w:sdtPr>
          <w:rPr>
            <w:rFonts w:asciiTheme="minorBidi" w:hAnsiTheme="minorBidi"/>
            <w:b/>
            <w:bCs/>
            <w:sz w:val="24"/>
            <w:szCs w:val="24"/>
          </w:rPr>
          <w:id w:val="193000043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64262120"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Le CCMH reste stable entre les deux groupes, soutenant l’absence d’altération morphologique significative des globules rouges malgré le contexte de déshydratation.</w:t>
      </w:r>
      <w:sdt>
        <w:sdtPr>
          <w:rPr>
            <w:rFonts w:asciiTheme="minorBidi" w:hAnsiTheme="minorBidi"/>
            <w:b/>
            <w:bCs/>
            <w:sz w:val="24"/>
            <w:szCs w:val="24"/>
          </w:rPr>
          <w:id w:val="1011185638"/>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Gha20 \l 1036 </w:instrText>
          </w:r>
          <w:r>
            <w:rPr>
              <w:rFonts w:asciiTheme="minorBidi" w:hAnsiTheme="minorBidi"/>
              <w:b/>
              <w:bCs/>
              <w:sz w:val="24"/>
              <w:szCs w:val="24"/>
            </w:rPr>
            <w:fldChar w:fldCharType="separate"/>
          </w:r>
          <w:r>
            <w:rPr>
              <w:rFonts w:asciiTheme="minorBidi" w:hAnsiTheme="minorBidi"/>
              <w:b/>
              <w:bCs/>
              <w:sz w:val="24"/>
              <w:szCs w:val="24"/>
            </w:rPr>
            <w:t xml:space="preserve"> (Ghada A. Mohamed, 2020)</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83429275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25D1A3BD" w14:textId="77777777" w:rsidR="00502BB2" w:rsidRDefault="0069123E">
      <w:pPr>
        <w:spacing w:line="360" w:lineRule="auto"/>
        <w:ind w:firstLine="360"/>
        <w:jc w:val="both"/>
        <w:rPr>
          <w:rFonts w:asciiTheme="minorBidi" w:hAnsiTheme="minorBidi"/>
          <w:sz w:val="24"/>
          <w:szCs w:val="24"/>
        </w:rPr>
      </w:pPr>
      <w:r>
        <w:rPr>
          <w:rFonts w:asciiTheme="minorBidi" w:hAnsiTheme="minorBidi"/>
          <w:sz w:val="24"/>
          <w:szCs w:val="24"/>
        </w:rPr>
        <w:t xml:space="preserve">En revanche, les globules blancs présentent des valeurs élevées dans les deux groupes, avec des niveaux plus faibles en réanimation (25,114 ± 4,2 ×10³/mm³) comparativement à la médecine interne (46,19 ± 6,19 ×10³/mm³), mais restant nettement supérieurs aux valeurs normales rapportées dans la littérature (~9,17 ×10³/mm³). Cette hyperleucocytose peut s’expliquer par un état inflammatoire ou infectieux associé, fréquent dans le contexte de l’acidocétose diabétique. </w:t>
      </w:r>
      <w:sdt>
        <w:sdtPr>
          <w:rPr>
            <w:rFonts w:asciiTheme="minorBidi" w:hAnsiTheme="minorBidi"/>
            <w:b/>
            <w:bCs/>
            <w:sz w:val="24"/>
            <w:szCs w:val="24"/>
          </w:rPr>
          <w:id w:val="-558552661"/>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Gha20 \l 1036 </w:instrText>
          </w:r>
          <w:r>
            <w:rPr>
              <w:rFonts w:asciiTheme="minorBidi" w:hAnsiTheme="minorBidi"/>
              <w:b/>
              <w:bCs/>
              <w:sz w:val="24"/>
              <w:szCs w:val="24"/>
            </w:rPr>
            <w:fldChar w:fldCharType="separate"/>
          </w:r>
          <w:r>
            <w:rPr>
              <w:rFonts w:asciiTheme="minorBidi" w:hAnsiTheme="minorBidi"/>
              <w:b/>
              <w:bCs/>
              <w:sz w:val="24"/>
              <w:szCs w:val="24"/>
            </w:rPr>
            <w:t>(Ghada A. Mohamed, 2020)</w:t>
          </w:r>
          <w:r>
            <w:rPr>
              <w:rFonts w:asciiTheme="minorBidi" w:hAnsiTheme="minorBidi"/>
              <w:b/>
              <w:bCs/>
              <w:sz w:val="24"/>
              <w:szCs w:val="24"/>
            </w:rPr>
            <w:fldChar w:fldCharType="end"/>
          </w:r>
        </w:sdtContent>
      </w:sdt>
      <w:r>
        <w:rPr>
          <w:rFonts w:asciiTheme="minorBidi" w:hAnsiTheme="minorBidi"/>
          <w:b/>
          <w:bCs/>
          <w:sz w:val="24"/>
          <w:szCs w:val="24"/>
        </w:rPr>
        <w:t xml:space="preserve"> ; </w:t>
      </w:r>
      <w:sdt>
        <w:sdtPr>
          <w:rPr>
            <w:rFonts w:asciiTheme="minorBidi" w:hAnsiTheme="minorBidi"/>
            <w:b/>
            <w:bCs/>
            <w:sz w:val="24"/>
            <w:szCs w:val="24"/>
          </w:rPr>
          <w:id w:val="-141438019"/>
        </w:sdtPr>
        <w:sdtEndPr/>
        <w:sdtContent>
          <w:r>
            <w:rPr>
              <w:rFonts w:asciiTheme="minorBidi" w:hAnsiTheme="minorBidi"/>
              <w:b/>
              <w:bCs/>
              <w:sz w:val="24"/>
              <w:szCs w:val="24"/>
            </w:rPr>
            <w:fldChar w:fldCharType="begin"/>
          </w:r>
          <w:r>
            <w:rPr>
              <w:rFonts w:asciiTheme="minorBidi" w:hAnsiTheme="minorBidi"/>
              <w:b/>
              <w:bCs/>
              <w:sz w:val="24"/>
              <w:szCs w:val="24"/>
            </w:rPr>
            <w:instrText xml:space="preserve"> CITATION Ele23 \l 1036 </w:instrText>
          </w:r>
          <w:r>
            <w:rPr>
              <w:rFonts w:asciiTheme="minorBidi" w:hAnsiTheme="minorBidi"/>
              <w:b/>
              <w:bCs/>
              <w:sz w:val="24"/>
              <w:szCs w:val="24"/>
            </w:rPr>
            <w:fldChar w:fldCharType="separate"/>
          </w:r>
          <w:r>
            <w:rPr>
              <w:rFonts w:asciiTheme="minorBidi" w:hAnsiTheme="minorBidi"/>
              <w:b/>
              <w:bCs/>
              <w:sz w:val="24"/>
              <w:szCs w:val="24"/>
            </w:rPr>
            <w:t xml:space="preserve"> (Elendu, 2023)</w:t>
          </w:r>
          <w:r>
            <w:rPr>
              <w:rFonts w:asciiTheme="minorBidi" w:hAnsiTheme="minorBidi"/>
              <w:b/>
              <w:bCs/>
              <w:sz w:val="24"/>
              <w:szCs w:val="24"/>
            </w:rPr>
            <w:fldChar w:fldCharType="end"/>
          </w:r>
        </w:sdtContent>
      </w:sdt>
    </w:p>
    <w:p w14:paraId="2B72C33E" w14:textId="13B840DD" w:rsidR="00D4307F" w:rsidRPr="00D4307F" w:rsidRDefault="00D4307F" w:rsidP="00D4307F">
      <w:pPr>
        <w:spacing w:line="360" w:lineRule="auto"/>
        <w:ind w:firstLine="360"/>
        <w:rPr>
          <w:rFonts w:asciiTheme="minorBidi" w:hAnsiTheme="minorBidi"/>
          <w:sz w:val="24"/>
          <w:szCs w:val="24"/>
        </w:rPr>
      </w:pPr>
      <w:r w:rsidRPr="00D4307F">
        <w:rPr>
          <w:rFonts w:asciiTheme="minorBidi" w:hAnsiTheme="minorBidi"/>
          <w:sz w:val="24"/>
          <w:szCs w:val="24"/>
        </w:rPr>
        <w:t>Les résultats de cette étude montrent une corrélation positive importante entre le trou anionique et le score de Glasgow (r = 0,71), suggérant l’implication de l’acidose métabolique dans l’altération neurologique observée au cours de l’acidocétose diabétique. En effet, l’augmentation du trou anionique reflète l’accumulation des corps cétoniques et l’intensité de l’acidose métabolique, pouvant contribuer à une atteinte de l’état de conscience. Des travaux récents ont montré que la sévérité des troubles métaboliques dans l’acidocétose diabétique est étroitement liée à la gravité clinique et neurologique des patients.</w:t>
      </w:r>
      <w:r w:rsidR="00885791" w:rsidRPr="00885791">
        <w:rPr>
          <w:rFonts w:asciiTheme="minorBidi" w:hAnsiTheme="minorBidi"/>
          <w:b/>
          <w:bCs/>
          <w:sz w:val="24"/>
          <w:szCs w:val="24"/>
        </w:rPr>
        <w:t xml:space="preserve"> </w:t>
      </w:r>
      <w:sdt>
        <w:sdtPr>
          <w:rPr>
            <w:rFonts w:asciiTheme="minorBidi" w:hAnsiTheme="minorBidi"/>
            <w:b/>
            <w:bCs/>
            <w:sz w:val="24"/>
            <w:szCs w:val="24"/>
          </w:rPr>
          <w:id w:val="-2076962198"/>
          <w:citation/>
        </w:sdtPr>
        <w:sdtEndPr/>
        <w:sdtContent>
          <w:r w:rsidR="00885791" w:rsidRPr="00D4307F">
            <w:rPr>
              <w:rFonts w:asciiTheme="minorBidi" w:hAnsiTheme="minorBidi"/>
              <w:b/>
              <w:bCs/>
              <w:sz w:val="24"/>
              <w:szCs w:val="24"/>
            </w:rPr>
            <w:fldChar w:fldCharType="begin"/>
          </w:r>
          <w:r w:rsidR="00885791" w:rsidRPr="00D4307F">
            <w:rPr>
              <w:rFonts w:asciiTheme="minorBidi" w:hAnsiTheme="minorBidi"/>
              <w:b/>
              <w:bCs/>
              <w:sz w:val="24"/>
              <w:szCs w:val="24"/>
            </w:rPr>
            <w:instrText xml:space="preserve"> CITATION Kar19 \l 1036 </w:instrText>
          </w:r>
          <w:r w:rsidR="00885791" w:rsidRPr="00D4307F">
            <w:rPr>
              <w:rFonts w:asciiTheme="minorBidi" w:hAnsiTheme="minorBidi"/>
              <w:b/>
              <w:bCs/>
              <w:sz w:val="24"/>
              <w:szCs w:val="24"/>
            </w:rPr>
            <w:fldChar w:fldCharType="separate"/>
          </w:r>
          <w:r w:rsidR="00885791" w:rsidRPr="00D4307F">
            <w:rPr>
              <w:rFonts w:asciiTheme="minorBidi" w:hAnsiTheme="minorBidi"/>
              <w:b/>
              <w:bCs/>
              <w:noProof/>
              <w:sz w:val="24"/>
              <w:szCs w:val="24"/>
            </w:rPr>
            <w:t>(Karslioglu French E, 2019)</w:t>
          </w:r>
          <w:r w:rsidR="00885791" w:rsidRPr="00D4307F">
            <w:rPr>
              <w:rFonts w:asciiTheme="minorBidi" w:hAnsiTheme="minorBidi"/>
              <w:b/>
              <w:bCs/>
              <w:sz w:val="24"/>
              <w:szCs w:val="24"/>
            </w:rPr>
            <w:fldChar w:fldCharType="end"/>
          </w:r>
        </w:sdtContent>
      </w:sdt>
      <w:r w:rsidR="00885791">
        <w:rPr>
          <w:rFonts w:asciiTheme="minorBidi" w:hAnsiTheme="minorBidi"/>
          <w:b/>
          <w:bCs/>
          <w:sz w:val="24"/>
          <w:szCs w:val="24"/>
        </w:rPr>
        <w:t> ;</w:t>
      </w:r>
      <w:r w:rsidRPr="00D4307F">
        <w:rPr>
          <w:rFonts w:asciiTheme="minorBidi" w:hAnsiTheme="minorBidi"/>
          <w:sz w:val="24"/>
          <w:szCs w:val="24"/>
        </w:rPr>
        <w:t xml:space="preserve"> </w:t>
      </w:r>
      <w:sdt>
        <w:sdtPr>
          <w:rPr>
            <w:rFonts w:asciiTheme="minorBidi" w:hAnsiTheme="minorBidi"/>
            <w:b/>
            <w:bCs/>
            <w:sz w:val="24"/>
            <w:szCs w:val="24"/>
          </w:rPr>
          <w:id w:val="-325059903"/>
          <w:citation/>
        </w:sdtPr>
        <w:sdtEndPr/>
        <w:sdtContent>
          <w:r w:rsidRPr="00D4307F">
            <w:rPr>
              <w:rFonts w:asciiTheme="minorBidi" w:hAnsiTheme="minorBidi"/>
              <w:b/>
              <w:bCs/>
              <w:sz w:val="24"/>
              <w:szCs w:val="24"/>
            </w:rPr>
            <w:fldChar w:fldCharType="begin"/>
          </w:r>
          <w:r w:rsidRPr="00D4307F">
            <w:rPr>
              <w:rFonts w:asciiTheme="minorBidi" w:hAnsiTheme="minorBidi"/>
              <w:b/>
              <w:bCs/>
              <w:sz w:val="24"/>
              <w:szCs w:val="24"/>
            </w:rPr>
            <w:instrText xml:space="preserve"> CITATION Lon20 \l 1036 </w:instrText>
          </w:r>
          <w:r w:rsidRPr="00D4307F">
            <w:rPr>
              <w:rFonts w:asciiTheme="minorBidi" w:hAnsiTheme="minorBidi"/>
              <w:b/>
              <w:bCs/>
              <w:sz w:val="24"/>
              <w:szCs w:val="24"/>
            </w:rPr>
            <w:fldChar w:fldCharType="separate"/>
          </w:r>
          <w:r w:rsidRPr="00D4307F">
            <w:rPr>
              <w:rFonts w:asciiTheme="minorBidi" w:hAnsiTheme="minorBidi"/>
              <w:b/>
              <w:bCs/>
              <w:noProof/>
              <w:sz w:val="24"/>
              <w:szCs w:val="24"/>
            </w:rPr>
            <w:t>(Long B, 2020)</w:t>
          </w:r>
          <w:r w:rsidRPr="00D4307F">
            <w:rPr>
              <w:rFonts w:asciiTheme="minorBidi" w:hAnsiTheme="minorBidi"/>
              <w:b/>
              <w:bCs/>
              <w:sz w:val="24"/>
              <w:szCs w:val="24"/>
            </w:rPr>
            <w:fldChar w:fldCharType="end"/>
          </w:r>
        </w:sdtContent>
      </w:sdt>
      <w:r>
        <w:rPr>
          <w:rFonts w:asciiTheme="minorBidi" w:hAnsiTheme="minorBidi"/>
          <w:b/>
          <w:bCs/>
          <w:sz w:val="24"/>
          <w:szCs w:val="24"/>
        </w:rPr>
        <w:t> </w:t>
      </w:r>
    </w:p>
    <w:p w14:paraId="6CB8EA20" w14:textId="225A5C84" w:rsidR="00D4307F" w:rsidRPr="00D4307F" w:rsidRDefault="00D4307F" w:rsidP="00D4307F">
      <w:pPr>
        <w:spacing w:line="360" w:lineRule="auto"/>
        <w:ind w:firstLine="708"/>
        <w:rPr>
          <w:rFonts w:asciiTheme="minorBidi" w:hAnsiTheme="minorBidi"/>
          <w:sz w:val="24"/>
          <w:szCs w:val="24"/>
        </w:rPr>
      </w:pPr>
      <w:r w:rsidRPr="00D4307F">
        <w:rPr>
          <w:rFonts w:asciiTheme="minorBidi" w:hAnsiTheme="minorBidi"/>
          <w:sz w:val="24"/>
          <w:szCs w:val="24"/>
        </w:rPr>
        <w:t>Par ailleurs, une forte corrélation positive a été observée entre le sodium (Na</w:t>
      </w:r>
      <w:r w:rsidRPr="00D4307F">
        <w:rPr>
          <w:rFonts w:ascii="Cambria Math" w:hAnsi="Cambria Math" w:cs="Cambria Math"/>
          <w:sz w:val="24"/>
          <w:szCs w:val="24"/>
        </w:rPr>
        <w:t>⁺</w:t>
      </w:r>
      <w:r w:rsidRPr="00D4307F">
        <w:rPr>
          <w:rFonts w:asciiTheme="minorBidi" w:hAnsiTheme="minorBidi"/>
          <w:sz w:val="24"/>
          <w:szCs w:val="24"/>
        </w:rPr>
        <w:t xml:space="preserve">) et le score de Glasgow (r = 0,76), ainsi qu’entre l’osmolarité et le GSC (r = 0,69). Ces résultats concordent avec plusieurs études récentes ayant démontré le rôle majeur de l’hyperosmolarité et des déséquilibres hydroélectrolytiques dans l’altération de la conscience chez les patients atteints d’acidocétose diabétique. Blank et al. (2020) ont notamment rapporté que l’augmentation de l’osmolarité sérique était associée à une aggravation de la sévérité clinique et à un risque plus élevé de complications neurologiques. </w:t>
      </w:r>
      <w:r>
        <w:rPr>
          <w:rFonts w:asciiTheme="minorBidi" w:hAnsiTheme="minorBidi"/>
          <w:sz w:val="24"/>
          <w:szCs w:val="24"/>
        </w:rPr>
        <w:t xml:space="preserve"> </w:t>
      </w:r>
      <w:sdt>
        <w:sdtPr>
          <w:rPr>
            <w:rFonts w:asciiTheme="minorBidi" w:hAnsiTheme="minorBidi"/>
            <w:b/>
            <w:bCs/>
            <w:sz w:val="24"/>
            <w:szCs w:val="24"/>
          </w:rPr>
          <w:id w:val="-448547176"/>
          <w:citation/>
        </w:sdtPr>
        <w:sdtEndPr/>
        <w:sdtContent>
          <w:r w:rsidRPr="00D4307F">
            <w:rPr>
              <w:rFonts w:asciiTheme="minorBidi" w:hAnsiTheme="minorBidi"/>
              <w:b/>
              <w:bCs/>
              <w:sz w:val="24"/>
              <w:szCs w:val="24"/>
            </w:rPr>
            <w:fldChar w:fldCharType="begin"/>
          </w:r>
          <w:r w:rsidRPr="00D4307F">
            <w:rPr>
              <w:rFonts w:asciiTheme="minorBidi" w:hAnsiTheme="minorBidi"/>
              <w:b/>
              <w:bCs/>
              <w:sz w:val="24"/>
              <w:szCs w:val="24"/>
            </w:rPr>
            <w:instrText xml:space="preserve"> CITATION Bla20 \l 1036 </w:instrText>
          </w:r>
          <w:r w:rsidRPr="00D4307F">
            <w:rPr>
              <w:rFonts w:asciiTheme="minorBidi" w:hAnsiTheme="minorBidi"/>
              <w:b/>
              <w:bCs/>
              <w:sz w:val="24"/>
              <w:szCs w:val="24"/>
            </w:rPr>
            <w:fldChar w:fldCharType="separate"/>
          </w:r>
          <w:r w:rsidRPr="00D4307F">
            <w:rPr>
              <w:rFonts w:asciiTheme="minorBidi" w:hAnsiTheme="minorBidi"/>
              <w:b/>
              <w:bCs/>
              <w:noProof/>
              <w:sz w:val="24"/>
              <w:szCs w:val="24"/>
            </w:rPr>
            <w:t>(Blank SP, 2020)</w:t>
          </w:r>
          <w:r w:rsidRPr="00D4307F">
            <w:rPr>
              <w:rFonts w:asciiTheme="minorBidi" w:hAnsiTheme="minorBidi"/>
              <w:b/>
              <w:bCs/>
              <w:sz w:val="24"/>
              <w:szCs w:val="24"/>
            </w:rPr>
            <w:fldChar w:fldCharType="end"/>
          </w:r>
        </w:sdtContent>
      </w:sdt>
      <w:r>
        <w:rPr>
          <w:rFonts w:asciiTheme="minorBidi" w:hAnsiTheme="minorBidi"/>
          <w:b/>
          <w:bCs/>
          <w:sz w:val="24"/>
          <w:szCs w:val="24"/>
        </w:rPr>
        <w:t> </w:t>
      </w:r>
      <w:r w:rsidRPr="00885791">
        <w:rPr>
          <w:rFonts w:asciiTheme="minorBidi" w:hAnsiTheme="minorBidi"/>
          <w:b/>
          <w:bCs/>
          <w:sz w:val="24"/>
          <w:szCs w:val="24"/>
        </w:rPr>
        <w:t>;</w:t>
      </w:r>
      <w:r w:rsidR="00885791" w:rsidRPr="00885791">
        <w:rPr>
          <w:rFonts w:asciiTheme="minorBidi" w:hAnsiTheme="minorBidi"/>
          <w:b/>
          <w:bCs/>
          <w:sz w:val="24"/>
          <w:szCs w:val="24"/>
        </w:rPr>
        <w:t xml:space="preserve"> </w:t>
      </w:r>
      <w:sdt>
        <w:sdtPr>
          <w:rPr>
            <w:rFonts w:asciiTheme="minorBidi" w:hAnsiTheme="minorBidi"/>
            <w:b/>
            <w:bCs/>
            <w:sz w:val="24"/>
            <w:szCs w:val="24"/>
          </w:rPr>
          <w:id w:val="1618017897"/>
          <w:citation/>
        </w:sdtPr>
        <w:sdtEndPr/>
        <w:sdtContent>
          <w:r w:rsidR="00885791" w:rsidRPr="00885791">
            <w:rPr>
              <w:rFonts w:asciiTheme="minorBidi" w:hAnsiTheme="minorBidi"/>
              <w:b/>
              <w:bCs/>
              <w:sz w:val="24"/>
              <w:szCs w:val="24"/>
            </w:rPr>
            <w:fldChar w:fldCharType="begin"/>
          </w:r>
          <w:r w:rsidR="00885791" w:rsidRPr="00885791">
            <w:rPr>
              <w:rFonts w:asciiTheme="minorBidi" w:hAnsiTheme="minorBidi"/>
              <w:b/>
              <w:bCs/>
              <w:sz w:val="24"/>
              <w:szCs w:val="24"/>
            </w:rPr>
            <w:instrText xml:space="preserve"> CITATION Bla23 \l 1036 </w:instrText>
          </w:r>
          <w:r w:rsidR="00885791" w:rsidRPr="00885791">
            <w:rPr>
              <w:rFonts w:asciiTheme="minorBidi" w:hAnsiTheme="minorBidi"/>
              <w:b/>
              <w:bCs/>
              <w:sz w:val="24"/>
              <w:szCs w:val="24"/>
            </w:rPr>
            <w:fldChar w:fldCharType="separate"/>
          </w:r>
          <w:r w:rsidR="00885791" w:rsidRPr="00885791">
            <w:rPr>
              <w:rFonts w:asciiTheme="minorBidi" w:hAnsiTheme="minorBidi"/>
              <w:b/>
              <w:bCs/>
              <w:noProof/>
              <w:sz w:val="24"/>
              <w:szCs w:val="24"/>
            </w:rPr>
            <w:t>(Blank SP B. R., 2023)</w:t>
          </w:r>
          <w:r w:rsidR="00885791" w:rsidRPr="00885791">
            <w:rPr>
              <w:rFonts w:asciiTheme="minorBidi" w:hAnsiTheme="minorBidi"/>
              <w:b/>
              <w:bCs/>
              <w:sz w:val="24"/>
              <w:szCs w:val="24"/>
            </w:rPr>
            <w:fldChar w:fldCharType="end"/>
          </w:r>
        </w:sdtContent>
      </w:sdt>
      <w:r w:rsidRPr="00885791">
        <w:rPr>
          <w:rFonts w:asciiTheme="minorBidi" w:hAnsiTheme="minorBidi"/>
          <w:b/>
          <w:bCs/>
          <w:sz w:val="24"/>
          <w:szCs w:val="24"/>
        </w:rPr>
        <w:t xml:space="preserve"> </w:t>
      </w:r>
    </w:p>
    <w:p w14:paraId="0CFACE35" w14:textId="6EF16AFD" w:rsidR="00D4307F" w:rsidRPr="00D4307F" w:rsidRDefault="00D4307F" w:rsidP="00D4307F">
      <w:pPr>
        <w:spacing w:line="360" w:lineRule="auto"/>
        <w:ind w:firstLine="708"/>
        <w:rPr>
          <w:rFonts w:asciiTheme="minorBidi" w:hAnsiTheme="minorBidi"/>
          <w:sz w:val="24"/>
          <w:szCs w:val="24"/>
        </w:rPr>
      </w:pPr>
      <w:r w:rsidRPr="00D4307F">
        <w:rPr>
          <w:rFonts w:asciiTheme="minorBidi" w:hAnsiTheme="minorBidi"/>
          <w:sz w:val="24"/>
          <w:szCs w:val="24"/>
        </w:rPr>
        <w:lastRenderedPageBreak/>
        <w:t>La corrélation positive observée entre le pH et le score de Glasgow (r = 0,22) ainsi qu’entre les bicarbonates (HCO3</w:t>
      </w:r>
      <w:r w:rsidRPr="00D4307F">
        <w:rPr>
          <w:rFonts w:ascii="Cambria Math" w:hAnsi="Cambria Math" w:cs="Cambria Math"/>
          <w:sz w:val="24"/>
          <w:szCs w:val="24"/>
        </w:rPr>
        <w:t>⁻</w:t>
      </w:r>
      <w:r w:rsidRPr="00D4307F">
        <w:rPr>
          <w:rFonts w:asciiTheme="minorBidi" w:hAnsiTheme="minorBidi"/>
          <w:sz w:val="24"/>
          <w:szCs w:val="24"/>
        </w:rPr>
        <w:t>) et le GSC (r = 0,35) semble cohérente avec la physiopathologie de l’acidocétose diabétique. Une diminution du pH et des bicarbonates traduit une acidose métabolique sévère susceptible d’altérer l’état neurologique. Plusieurs auteurs ont souligné que la profondeur de l’acidose constitue un indicateur important de la gravité de l’acidocétose diabétique.</w:t>
      </w:r>
      <w:r w:rsidR="00885791">
        <w:rPr>
          <w:rFonts w:asciiTheme="minorBidi" w:hAnsiTheme="minorBidi"/>
          <w:sz w:val="24"/>
          <w:szCs w:val="24"/>
        </w:rPr>
        <w:t xml:space="preserve"> </w:t>
      </w:r>
      <w:r w:rsidRPr="00D4307F">
        <w:rPr>
          <w:rFonts w:asciiTheme="minorBidi" w:hAnsiTheme="minorBidi"/>
          <w:sz w:val="24"/>
          <w:szCs w:val="24"/>
        </w:rPr>
        <w:t xml:space="preserve"> </w:t>
      </w:r>
      <w:sdt>
        <w:sdtPr>
          <w:rPr>
            <w:rFonts w:asciiTheme="minorBidi" w:hAnsiTheme="minorBidi"/>
            <w:b/>
            <w:bCs/>
            <w:sz w:val="24"/>
            <w:szCs w:val="24"/>
          </w:rPr>
          <w:id w:val="1630819591"/>
          <w:citation/>
        </w:sdtPr>
        <w:sdtEndPr/>
        <w:sdtContent>
          <w:r w:rsidR="00885791" w:rsidRPr="00D4307F">
            <w:rPr>
              <w:rFonts w:asciiTheme="minorBidi" w:hAnsiTheme="minorBidi"/>
              <w:b/>
              <w:bCs/>
              <w:sz w:val="24"/>
              <w:szCs w:val="24"/>
            </w:rPr>
            <w:fldChar w:fldCharType="begin"/>
          </w:r>
          <w:r w:rsidR="00885791" w:rsidRPr="00D4307F">
            <w:rPr>
              <w:rFonts w:asciiTheme="minorBidi" w:hAnsiTheme="minorBidi"/>
              <w:b/>
              <w:bCs/>
              <w:sz w:val="24"/>
              <w:szCs w:val="24"/>
            </w:rPr>
            <w:instrText xml:space="preserve"> CITATION Kar19 \l 1036 </w:instrText>
          </w:r>
          <w:r w:rsidR="00885791" w:rsidRPr="00D4307F">
            <w:rPr>
              <w:rFonts w:asciiTheme="minorBidi" w:hAnsiTheme="minorBidi"/>
              <w:b/>
              <w:bCs/>
              <w:sz w:val="24"/>
              <w:szCs w:val="24"/>
            </w:rPr>
            <w:fldChar w:fldCharType="separate"/>
          </w:r>
          <w:r w:rsidR="00885791" w:rsidRPr="00D4307F">
            <w:rPr>
              <w:rFonts w:asciiTheme="minorBidi" w:hAnsiTheme="minorBidi"/>
              <w:b/>
              <w:bCs/>
              <w:noProof/>
              <w:sz w:val="24"/>
              <w:szCs w:val="24"/>
            </w:rPr>
            <w:t>(Karslioglu French E, 2019)</w:t>
          </w:r>
          <w:r w:rsidR="00885791" w:rsidRPr="00D4307F">
            <w:rPr>
              <w:rFonts w:asciiTheme="minorBidi" w:hAnsiTheme="minorBidi"/>
              <w:b/>
              <w:bCs/>
              <w:sz w:val="24"/>
              <w:szCs w:val="24"/>
            </w:rPr>
            <w:fldChar w:fldCharType="end"/>
          </w:r>
        </w:sdtContent>
      </w:sdt>
      <w:r w:rsidR="00885791">
        <w:rPr>
          <w:rFonts w:asciiTheme="minorBidi" w:hAnsiTheme="minorBidi"/>
          <w:b/>
          <w:bCs/>
          <w:sz w:val="24"/>
          <w:szCs w:val="24"/>
        </w:rPr>
        <w:t> ;</w:t>
      </w:r>
      <w:r w:rsidR="00885791" w:rsidRPr="00D4307F">
        <w:rPr>
          <w:rFonts w:asciiTheme="minorBidi" w:hAnsiTheme="minorBidi"/>
          <w:sz w:val="24"/>
          <w:szCs w:val="24"/>
        </w:rPr>
        <w:t xml:space="preserve"> </w:t>
      </w:r>
      <w:sdt>
        <w:sdtPr>
          <w:rPr>
            <w:rFonts w:asciiTheme="minorBidi" w:hAnsiTheme="minorBidi"/>
            <w:b/>
            <w:bCs/>
            <w:sz w:val="24"/>
            <w:szCs w:val="24"/>
          </w:rPr>
          <w:id w:val="1075938521"/>
          <w:citation/>
        </w:sdtPr>
        <w:sdtEndPr/>
        <w:sdtContent>
          <w:r w:rsidR="00885791" w:rsidRPr="00D4307F">
            <w:rPr>
              <w:rFonts w:asciiTheme="minorBidi" w:hAnsiTheme="minorBidi"/>
              <w:b/>
              <w:bCs/>
              <w:sz w:val="24"/>
              <w:szCs w:val="24"/>
            </w:rPr>
            <w:fldChar w:fldCharType="begin"/>
          </w:r>
          <w:r w:rsidR="00885791" w:rsidRPr="00D4307F">
            <w:rPr>
              <w:rFonts w:asciiTheme="minorBidi" w:hAnsiTheme="minorBidi"/>
              <w:b/>
              <w:bCs/>
              <w:sz w:val="24"/>
              <w:szCs w:val="24"/>
            </w:rPr>
            <w:instrText xml:space="preserve"> CITATION Lon20 \l 1036 </w:instrText>
          </w:r>
          <w:r w:rsidR="00885791" w:rsidRPr="00D4307F">
            <w:rPr>
              <w:rFonts w:asciiTheme="minorBidi" w:hAnsiTheme="minorBidi"/>
              <w:b/>
              <w:bCs/>
              <w:sz w:val="24"/>
              <w:szCs w:val="24"/>
            </w:rPr>
            <w:fldChar w:fldCharType="separate"/>
          </w:r>
          <w:r w:rsidR="00885791" w:rsidRPr="00D4307F">
            <w:rPr>
              <w:rFonts w:asciiTheme="minorBidi" w:hAnsiTheme="minorBidi"/>
              <w:b/>
              <w:bCs/>
              <w:noProof/>
              <w:sz w:val="24"/>
              <w:szCs w:val="24"/>
            </w:rPr>
            <w:t>(Long B, 2020)</w:t>
          </w:r>
          <w:r w:rsidR="00885791" w:rsidRPr="00D4307F">
            <w:rPr>
              <w:rFonts w:asciiTheme="minorBidi" w:hAnsiTheme="minorBidi"/>
              <w:b/>
              <w:bCs/>
              <w:sz w:val="24"/>
              <w:szCs w:val="24"/>
            </w:rPr>
            <w:fldChar w:fldCharType="end"/>
          </w:r>
        </w:sdtContent>
      </w:sdt>
      <w:r w:rsidR="00885791">
        <w:rPr>
          <w:rFonts w:asciiTheme="minorBidi" w:hAnsiTheme="minorBidi"/>
          <w:b/>
          <w:bCs/>
          <w:sz w:val="24"/>
          <w:szCs w:val="24"/>
        </w:rPr>
        <w:t> </w:t>
      </w:r>
    </w:p>
    <w:p w14:paraId="0CC56F0B" w14:textId="0CFF121C" w:rsidR="00D4307F" w:rsidRPr="00D4307F" w:rsidRDefault="00D4307F" w:rsidP="00D4307F">
      <w:pPr>
        <w:spacing w:line="360" w:lineRule="auto"/>
        <w:ind w:firstLine="708"/>
        <w:rPr>
          <w:rFonts w:asciiTheme="minorBidi" w:hAnsiTheme="minorBidi"/>
          <w:sz w:val="24"/>
          <w:szCs w:val="24"/>
        </w:rPr>
      </w:pPr>
      <w:r w:rsidRPr="00D4307F">
        <w:rPr>
          <w:rFonts w:asciiTheme="minorBidi" w:hAnsiTheme="minorBidi"/>
          <w:sz w:val="24"/>
          <w:szCs w:val="24"/>
        </w:rPr>
        <w:t>Concernant le chlore (Cl</w:t>
      </w:r>
      <w:r w:rsidRPr="00D4307F">
        <w:rPr>
          <w:rFonts w:ascii="Cambria Math" w:hAnsi="Cambria Math" w:cs="Cambria Math"/>
          <w:sz w:val="24"/>
          <w:szCs w:val="24"/>
        </w:rPr>
        <w:t>⁻</w:t>
      </w:r>
      <w:r w:rsidRPr="00D4307F">
        <w:rPr>
          <w:rFonts w:asciiTheme="minorBidi" w:hAnsiTheme="minorBidi"/>
          <w:sz w:val="24"/>
          <w:szCs w:val="24"/>
        </w:rPr>
        <w:t>) et le potassium (K</w:t>
      </w:r>
      <w:r w:rsidRPr="00D4307F">
        <w:rPr>
          <w:rFonts w:ascii="Cambria Math" w:hAnsi="Cambria Math" w:cs="Cambria Math"/>
          <w:sz w:val="24"/>
          <w:szCs w:val="24"/>
        </w:rPr>
        <w:t>⁺</w:t>
      </w:r>
      <w:r w:rsidRPr="00D4307F">
        <w:rPr>
          <w:rFonts w:asciiTheme="minorBidi" w:hAnsiTheme="minorBidi"/>
          <w:sz w:val="24"/>
          <w:szCs w:val="24"/>
        </w:rPr>
        <w:t xml:space="preserve">), les corrélations négatives observées avec le score de Glasgow pourraient être liées aux importantes perturbations électrolytiques associées à l’acidocétose diabétique. Les déséquilibres du potassium sont particulièrement fréquents dans cette pathologie et peuvent participer à l’aggravation de l’état clinique des patients. </w:t>
      </w:r>
      <w:sdt>
        <w:sdtPr>
          <w:rPr>
            <w:rFonts w:asciiTheme="minorBidi" w:hAnsiTheme="minorBidi"/>
            <w:b/>
            <w:bCs/>
            <w:sz w:val="24"/>
            <w:szCs w:val="24"/>
          </w:rPr>
          <w:id w:val="-1230300777"/>
          <w:citation/>
        </w:sdtPr>
        <w:sdtEndPr/>
        <w:sdtContent>
          <w:r w:rsidR="00885791" w:rsidRPr="00D4307F">
            <w:rPr>
              <w:rFonts w:asciiTheme="minorBidi" w:hAnsiTheme="minorBidi"/>
              <w:b/>
              <w:bCs/>
              <w:sz w:val="24"/>
              <w:szCs w:val="24"/>
            </w:rPr>
            <w:fldChar w:fldCharType="begin"/>
          </w:r>
          <w:r w:rsidR="00885791" w:rsidRPr="00D4307F">
            <w:rPr>
              <w:rFonts w:asciiTheme="minorBidi" w:hAnsiTheme="minorBidi"/>
              <w:b/>
              <w:bCs/>
              <w:sz w:val="24"/>
              <w:szCs w:val="24"/>
            </w:rPr>
            <w:instrText xml:space="preserve"> CITATION Lon20 \l 1036 </w:instrText>
          </w:r>
          <w:r w:rsidR="00885791" w:rsidRPr="00D4307F">
            <w:rPr>
              <w:rFonts w:asciiTheme="minorBidi" w:hAnsiTheme="minorBidi"/>
              <w:b/>
              <w:bCs/>
              <w:sz w:val="24"/>
              <w:szCs w:val="24"/>
            </w:rPr>
            <w:fldChar w:fldCharType="separate"/>
          </w:r>
          <w:r w:rsidR="00885791" w:rsidRPr="00D4307F">
            <w:rPr>
              <w:rFonts w:asciiTheme="minorBidi" w:hAnsiTheme="minorBidi"/>
              <w:b/>
              <w:bCs/>
              <w:noProof/>
              <w:sz w:val="24"/>
              <w:szCs w:val="24"/>
            </w:rPr>
            <w:t>(Long B, 2020)</w:t>
          </w:r>
          <w:r w:rsidR="00885791" w:rsidRPr="00D4307F">
            <w:rPr>
              <w:rFonts w:asciiTheme="minorBidi" w:hAnsiTheme="minorBidi"/>
              <w:b/>
              <w:bCs/>
              <w:sz w:val="24"/>
              <w:szCs w:val="24"/>
            </w:rPr>
            <w:fldChar w:fldCharType="end"/>
          </w:r>
        </w:sdtContent>
      </w:sdt>
      <w:r w:rsidR="00885791">
        <w:rPr>
          <w:rFonts w:asciiTheme="minorBidi" w:hAnsiTheme="minorBidi"/>
          <w:b/>
          <w:bCs/>
          <w:sz w:val="24"/>
          <w:szCs w:val="24"/>
        </w:rPr>
        <w:t> </w:t>
      </w:r>
      <w:r w:rsidR="00885791" w:rsidRPr="00885791">
        <w:rPr>
          <w:rFonts w:asciiTheme="minorBidi" w:hAnsiTheme="minorBidi"/>
          <w:b/>
          <w:bCs/>
          <w:sz w:val="24"/>
          <w:szCs w:val="24"/>
        </w:rPr>
        <w:t xml:space="preserve">; </w:t>
      </w:r>
      <w:sdt>
        <w:sdtPr>
          <w:rPr>
            <w:rFonts w:asciiTheme="minorBidi" w:hAnsiTheme="minorBidi"/>
            <w:b/>
            <w:bCs/>
            <w:sz w:val="24"/>
            <w:szCs w:val="24"/>
          </w:rPr>
          <w:id w:val="-298147484"/>
          <w:citation/>
        </w:sdtPr>
        <w:sdtEndPr/>
        <w:sdtContent>
          <w:r w:rsidR="00885791" w:rsidRPr="00885791">
            <w:rPr>
              <w:rFonts w:asciiTheme="minorBidi" w:hAnsiTheme="minorBidi"/>
              <w:b/>
              <w:bCs/>
              <w:sz w:val="24"/>
              <w:szCs w:val="24"/>
            </w:rPr>
            <w:fldChar w:fldCharType="begin"/>
          </w:r>
          <w:r w:rsidR="00885791" w:rsidRPr="00885791">
            <w:rPr>
              <w:rFonts w:asciiTheme="minorBidi" w:hAnsiTheme="minorBidi"/>
              <w:b/>
              <w:bCs/>
              <w:sz w:val="24"/>
              <w:szCs w:val="24"/>
            </w:rPr>
            <w:instrText xml:space="preserve"> CITATION Sel20 \l 1036 </w:instrText>
          </w:r>
          <w:r w:rsidR="00885791" w:rsidRPr="00885791">
            <w:rPr>
              <w:rFonts w:asciiTheme="minorBidi" w:hAnsiTheme="minorBidi"/>
              <w:b/>
              <w:bCs/>
              <w:sz w:val="24"/>
              <w:szCs w:val="24"/>
            </w:rPr>
            <w:fldChar w:fldCharType="separate"/>
          </w:r>
          <w:r w:rsidR="00885791" w:rsidRPr="00885791">
            <w:rPr>
              <w:rFonts w:asciiTheme="minorBidi" w:hAnsiTheme="minorBidi"/>
              <w:b/>
              <w:bCs/>
              <w:noProof/>
              <w:sz w:val="24"/>
              <w:szCs w:val="24"/>
            </w:rPr>
            <w:t>(Self WH, 2020)</w:t>
          </w:r>
          <w:r w:rsidR="00885791" w:rsidRPr="00885791">
            <w:rPr>
              <w:rFonts w:asciiTheme="minorBidi" w:hAnsiTheme="minorBidi"/>
              <w:b/>
              <w:bCs/>
              <w:sz w:val="24"/>
              <w:szCs w:val="24"/>
            </w:rPr>
            <w:fldChar w:fldCharType="end"/>
          </w:r>
        </w:sdtContent>
      </w:sdt>
    </w:p>
    <w:p w14:paraId="0D41BDC9" w14:textId="4AF46AE8" w:rsidR="00D4307F" w:rsidRPr="00D4307F" w:rsidRDefault="00D4307F" w:rsidP="00D4307F">
      <w:pPr>
        <w:spacing w:line="360" w:lineRule="auto"/>
        <w:ind w:firstLine="708"/>
        <w:rPr>
          <w:rFonts w:asciiTheme="minorBidi" w:hAnsiTheme="minorBidi"/>
          <w:sz w:val="24"/>
          <w:szCs w:val="24"/>
        </w:rPr>
      </w:pPr>
      <w:r w:rsidRPr="00D4307F">
        <w:rPr>
          <w:rFonts w:asciiTheme="minorBidi" w:hAnsiTheme="minorBidi"/>
          <w:sz w:val="24"/>
          <w:szCs w:val="24"/>
        </w:rPr>
        <w:t>Enfin, la glycémie et le lactate ont montré des corrélations faibles avec le score de Glasgow dans notre étude. Ce résultat suggère que l’altération neurologique au cours de l’acidocétose diabétique ne dépend pas uniquement de l’hyperglycémie, mais également de la sévérité des désordres métaboliques et hydroélectrolytiques associés. Des études récentes ont également montré que l’hyperosmolarité et les troubles acido-basiques constituent des facteurs plus étroitement associés à la gravité clinique que la glycémie seule</w:t>
      </w:r>
      <w:r w:rsidR="00885791">
        <w:rPr>
          <w:rFonts w:asciiTheme="minorBidi" w:hAnsiTheme="minorBidi"/>
          <w:sz w:val="24"/>
          <w:szCs w:val="24"/>
        </w:rPr>
        <w:t xml:space="preserve">. </w:t>
      </w:r>
      <w:sdt>
        <w:sdtPr>
          <w:rPr>
            <w:rFonts w:asciiTheme="minorBidi" w:hAnsiTheme="minorBidi"/>
            <w:b/>
            <w:bCs/>
            <w:sz w:val="24"/>
            <w:szCs w:val="24"/>
          </w:rPr>
          <w:id w:val="1627190813"/>
          <w:citation/>
        </w:sdtPr>
        <w:sdtEndPr/>
        <w:sdtContent>
          <w:r w:rsidR="00885791" w:rsidRPr="00D4307F">
            <w:rPr>
              <w:rFonts w:asciiTheme="minorBidi" w:hAnsiTheme="minorBidi"/>
              <w:b/>
              <w:bCs/>
              <w:sz w:val="24"/>
              <w:szCs w:val="24"/>
            </w:rPr>
            <w:fldChar w:fldCharType="begin"/>
          </w:r>
          <w:r w:rsidR="00885791" w:rsidRPr="00D4307F">
            <w:rPr>
              <w:rFonts w:asciiTheme="minorBidi" w:hAnsiTheme="minorBidi"/>
              <w:b/>
              <w:bCs/>
              <w:sz w:val="24"/>
              <w:szCs w:val="24"/>
            </w:rPr>
            <w:instrText xml:space="preserve"> CITATION Lon20 \l 1036 </w:instrText>
          </w:r>
          <w:r w:rsidR="00885791" w:rsidRPr="00D4307F">
            <w:rPr>
              <w:rFonts w:asciiTheme="minorBidi" w:hAnsiTheme="minorBidi"/>
              <w:b/>
              <w:bCs/>
              <w:sz w:val="24"/>
              <w:szCs w:val="24"/>
            </w:rPr>
            <w:fldChar w:fldCharType="separate"/>
          </w:r>
          <w:r w:rsidR="00885791" w:rsidRPr="00D4307F">
            <w:rPr>
              <w:rFonts w:asciiTheme="minorBidi" w:hAnsiTheme="minorBidi"/>
              <w:b/>
              <w:bCs/>
              <w:noProof/>
              <w:sz w:val="24"/>
              <w:szCs w:val="24"/>
            </w:rPr>
            <w:t>(Long B, 2020)</w:t>
          </w:r>
          <w:r w:rsidR="00885791" w:rsidRPr="00D4307F">
            <w:rPr>
              <w:rFonts w:asciiTheme="minorBidi" w:hAnsiTheme="minorBidi"/>
              <w:b/>
              <w:bCs/>
              <w:sz w:val="24"/>
              <w:szCs w:val="24"/>
            </w:rPr>
            <w:fldChar w:fldCharType="end"/>
          </w:r>
        </w:sdtContent>
      </w:sdt>
      <w:r w:rsidR="00885791">
        <w:rPr>
          <w:rFonts w:asciiTheme="minorBidi" w:hAnsiTheme="minorBidi"/>
          <w:b/>
          <w:bCs/>
          <w:sz w:val="24"/>
          <w:szCs w:val="24"/>
        </w:rPr>
        <w:t> </w:t>
      </w:r>
      <w:r w:rsidR="00885791" w:rsidRPr="00885791">
        <w:rPr>
          <w:rFonts w:asciiTheme="minorBidi" w:hAnsiTheme="minorBidi"/>
          <w:b/>
          <w:bCs/>
          <w:sz w:val="24"/>
          <w:szCs w:val="24"/>
        </w:rPr>
        <w:t xml:space="preserve">; </w:t>
      </w:r>
      <w:sdt>
        <w:sdtPr>
          <w:rPr>
            <w:rFonts w:asciiTheme="minorBidi" w:hAnsiTheme="minorBidi"/>
            <w:b/>
            <w:bCs/>
            <w:sz w:val="24"/>
            <w:szCs w:val="24"/>
          </w:rPr>
          <w:id w:val="803505902"/>
          <w:citation/>
        </w:sdtPr>
        <w:sdtEndPr/>
        <w:sdtContent>
          <w:r w:rsidR="00885791" w:rsidRPr="00885791">
            <w:rPr>
              <w:rFonts w:asciiTheme="minorBidi" w:hAnsiTheme="minorBidi"/>
              <w:b/>
              <w:bCs/>
              <w:sz w:val="24"/>
              <w:szCs w:val="24"/>
            </w:rPr>
            <w:fldChar w:fldCharType="begin"/>
          </w:r>
          <w:r w:rsidR="00885791" w:rsidRPr="00885791">
            <w:rPr>
              <w:rFonts w:asciiTheme="minorBidi" w:hAnsiTheme="minorBidi"/>
              <w:b/>
              <w:bCs/>
              <w:sz w:val="24"/>
              <w:szCs w:val="24"/>
            </w:rPr>
            <w:instrText xml:space="preserve"> CITATION WuX20 \l 1036 </w:instrText>
          </w:r>
          <w:r w:rsidR="00885791" w:rsidRPr="00885791">
            <w:rPr>
              <w:rFonts w:asciiTheme="minorBidi" w:hAnsiTheme="minorBidi"/>
              <w:b/>
              <w:bCs/>
              <w:sz w:val="24"/>
              <w:szCs w:val="24"/>
            </w:rPr>
            <w:fldChar w:fldCharType="separate"/>
          </w:r>
          <w:r w:rsidR="00885791" w:rsidRPr="00885791">
            <w:rPr>
              <w:rFonts w:asciiTheme="minorBidi" w:hAnsiTheme="minorBidi"/>
              <w:b/>
              <w:bCs/>
              <w:noProof/>
              <w:sz w:val="24"/>
              <w:szCs w:val="24"/>
            </w:rPr>
            <w:t>(Wu, 2020)</w:t>
          </w:r>
          <w:r w:rsidR="00885791" w:rsidRPr="00885791">
            <w:rPr>
              <w:rFonts w:asciiTheme="minorBidi" w:hAnsiTheme="minorBidi"/>
              <w:b/>
              <w:bCs/>
              <w:sz w:val="24"/>
              <w:szCs w:val="24"/>
            </w:rPr>
            <w:fldChar w:fldCharType="end"/>
          </w:r>
        </w:sdtContent>
      </w:sdt>
    </w:p>
    <w:p w14:paraId="7BEBDFDC" w14:textId="77777777" w:rsidR="00502BB2" w:rsidRDefault="00502BB2"/>
    <w:p w14:paraId="22F8065E" w14:textId="77777777" w:rsidR="00502BB2" w:rsidRDefault="00502BB2">
      <w:pPr>
        <w:sectPr w:rsidR="00502BB2">
          <w:headerReference w:type="default" r:id="rId159"/>
          <w:footerReference w:type="default" r:id="rId160"/>
          <w:pgSz w:w="12240" w:h="15840"/>
          <w:pgMar w:top="1417" w:right="1417" w:bottom="1417" w:left="1417" w:header="720" w:footer="720" w:gutter="0"/>
          <w:cols w:space="720"/>
        </w:sectPr>
      </w:pPr>
    </w:p>
    <w:p w14:paraId="2018F8FA" w14:textId="77777777" w:rsidR="00502BB2" w:rsidRDefault="0069123E">
      <w:r>
        <w:rPr>
          <w:noProof/>
        </w:rPr>
        <w:lastRenderedPageBreak/>
        <mc:AlternateContent>
          <mc:Choice Requires="wps">
            <w:drawing>
              <wp:anchor distT="0" distB="0" distL="114300" distR="114300" simplePos="0" relativeHeight="251699200" behindDoc="0" locked="0" layoutInCell="1" allowOverlap="1" wp14:anchorId="58C990F1" wp14:editId="47CA4238">
                <wp:simplePos x="0" y="0"/>
                <wp:positionH relativeFrom="margin">
                  <wp:posOffset>558800</wp:posOffset>
                </wp:positionH>
                <wp:positionV relativeFrom="paragraph">
                  <wp:posOffset>2146300</wp:posOffset>
                </wp:positionV>
                <wp:extent cx="5372100" cy="3166110"/>
                <wp:effectExtent l="895350" t="0" r="19050" b="777240"/>
                <wp:wrapNone/>
                <wp:docPr id="1573121879" name="Callout: Double Bent Line with No Border 23"/>
                <wp:cNvGraphicFramePr/>
                <a:graphic xmlns:a="http://schemas.openxmlformats.org/drawingml/2006/main">
                  <a:graphicData uri="http://schemas.microsoft.com/office/word/2010/wordprocessingShape">
                    <wps:wsp>
                      <wps:cNvSpPr/>
                      <wps:spPr>
                        <a:xfrm>
                          <a:off x="0" y="0"/>
                          <a:ext cx="5372100" cy="3166110"/>
                        </a:xfrm>
                        <a:prstGeom prst="callout3">
                          <a:avLst>
                            <a:gd name="adj1" fmla="val 18750"/>
                            <a:gd name="adj2" fmla="val -2801"/>
                            <a:gd name="adj3" fmla="val 18750"/>
                            <a:gd name="adj4" fmla="val -16667"/>
                            <a:gd name="adj5" fmla="val 100000"/>
                            <a:gd name="adj6" fmla="val -16667"/>
                            <a:gd name="adj7" fmla="val 123793"/>
                            <a:gd name="adj8" fmla="val -3014"/>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headEnd type="none" w="med" len="med"/>
                          <a:tailEnd type="none" w="med" len="med"/>
                        </a:ln>
                        <a:effectLst/>
                      </wps:spPr>
                      <wps:txbx>
                        <w:txbxContent>
                          <w:p w14:paraId="6E657507" w14:textId="77777777" w:rsidR="00502BB2" w:rsidRDefault="00502BB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8C990F1" id="_x0000_s1053" type="#_x0000_t43" style="position:absolute;margin-left:44pt;margin-top:169pt;width:423pt;height:249.3pt;z-index:251699200;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g/UQMAACMIAAAOAAAAZHJzL2Uyb0RvYy54bWysVctu2zgU3ReYfyC4TyxZfsWIUgRJMxgg&#10;bQKkg6wZirJY8KEh6dier+8hJduaJimCdryQKfLo8txzX+cft1qRZ+G8tKak+WlGiTDcVtKsSvr3&#10;15uTBSU+MFMxZY0o6U54+vHijw/nm3YpxraxqhKOwIjxy01b0iaEdjkaed4IzfypbYXBYW2dZgGv&#10;bjWqHNvAulajcZbNRhvrqtZZLrzH7nV3SC+S/boWPNzVtReBqJKCW0hPl55P8Tm6OGfLlWNtI3lP&#10;g/0CC82kwaUHU9csMLJ28oUpLbmz3tbhlFs9snUtuUg+wJs8+8Gbh4a1IvkCcXx7kMn/f2b5l+eH&#10;9t5Bhk3rlx7L6MW2djr+gx/ZJrF2B7HENhCOzWkxH+cZNOU4K/LZLM+TnKPj563z4U9hNYmLknKm&#10;lF2HIgnFnm99SIpVxDCN1GDVt5ySWisE4Jkpki/m032ABpjxEHMyXmR5H8QBphhi3rAzGWJOwH82&#10;f2loOgTBW/xegmZD0FuW5kNQPi7mZ8VLSyiWo/8nRZZPIgaK9mphtde0T7bqRipFnA2PMjQpX1CF&#10;XSb6vcCetBYpk6Vtv/NXyhEIXFLUUWU3XxFRShTzAQeAdV5G+2qtP9uqwyK6B+c9C8f9bHrYD9KE&#10;Dj2b95tg3N2Y3Fj5RLsnFD/8TVKDy/9LqniF1Hy/+TNSfZAjz1+W6k1WZ6+wWsQb+zD/IBV4rvZR&#10;VNIQFpvqdAJ8rDuPehJVX5cR6ljKhhQ5QzYlnRUoIMIZ+mqtGILMdYsPvFlRwtQKDZsH12WFVfLw&#10;8Xv97lLTDz+N2XnNfNNlQTrqslzLgD6vpC7pouOfOm8jWPXJVCTsWnQAgxFBI3EtKmSkAMG4SsjA&#10;pHoPEkIoEyUQqfujBiLNY3OLq7B92hIJJcap5OPWk6129y4WUhSU+JbfSPhyi6q4Zw4dCZsYc+EO&#10;j1pZcLT9ipLGun9f2494dGqcwimMGCj/z5o5uKj+MijIs3wygdmQXibT+RgvbnjyNDwxa31lUbTo&#10;kWCXlhEf1H5ZO6sfMQ0v4604Yobj7i7G/ctV6EYf5ikXl5cJhjnUsnBrHlq+bx3GXq6DreVBuk6d&#10;XkdMoq6Yu6kZR93wPaGOs/3iOwAAAP//AwBQSwMEFAAGAAgAAAAhALyLBsneAAAACgEAAA8AAABk&#10;cnMvZG93bnJldi54bWxMj8FOwzAQRO9I/IO1SFwQdUJQMCFOhajgUlWIth/gxtskIl5HsZuGv2d7&#10;gtusZjT7plzOrhcTjqHzpCFdJCCQam87ajTsd+/3CkSIhqzpPaGGHwywrK6vSlNYf6YvnLaxEVxC&#10;oTAa2hiHQspQt+hMWPgBib2jH52JfI6NtKM5c7nr5UOS5NKZjvhDawZ8a7H+3p6chtV6vKPmSX1+&#10;uCmsU7uaNio9an17M7++gIg4x78wXPAZHSpmOvgT2SB6DUrxlKghyy6CA8/ZI4sDO1meg6xK+X9C&#10;9QsAAP//AwBQSwECLQAUAAYACAAAACEAtoM4kv4AAADhAQAAEwAAAAAAAAAAAAAAAAAAAAAAW0Nv&#10;bnRlbnRfVHlwZXNdLnhtbFBLAQItABQABgAIAAAAIQA4/SH/1gAAAJQBAAALAAAAAAAAAAAAAAAA&#10;AC8BAABfcmVscy8ucmVsc1BLAQItABQABgAIAAAAIQBc/1g/UQMAACMIAAAOAAAAAAAAAAAAAAAA&#10;AC4CAABkcnMvZTJvRG9jLnhtbFBLAQItABQABgAIAAAAIQC8iwbJ3gAAAAoBAAAPAAAAAAAAAAAA&#10;AAAAAKsFAABkcnMvZG93bnJldi54bWxQSwUGAAAAAAQABADzAAAAtgYAAAAA&#10;" adj="-651,26739,-3600,,-3600,,-605" fillcolor="#9b9b9b" strokecolor="windowText" strokeweight=".5pt">
                <v:fill color2="#797979" rotate="t" colors="0 #9b9b9b;.5 #8e8e8e;1 #797979" focus="100%" type="gradient">
                  <o:fill v:ext="view" type="gradientUnscaled"/>
                </v:fill>
                <v:textbox>
                  <w:txbxContent>
                    <w:p w14:paraId="6E657507" w14:textId="77777777" w:rsidR="00502BB2" w:rsidRDefault="00502BB2"/>
                  </w:txbxContent>
                </v:textbox>
                <o:callout v:ext="edit" minusx="t" minusy="t"/>
                <w10:wrap anchorx="margin"/>
              </v:shape>
            </w:pict>
          </mc:Fallback>
        </mc:AlternateContent>
      </w:r>
    </w:p>
    <w:p w14:paraId="79144477" w14:textId="77777777" w:rsidR="00502BB2" w:rsidRDefault="0069123E">
      <w:pPr>
        <w:pStyle w:val="Header"/>
        <w:jc w:val="center"/>
        <w:rPr>
          <w:caps/>
          <w:color w:val="FFFFFF" w:themeColor="background1"/>
        </w:rPr>
        <w:sectPr w:rsidR="00502BB2">
          <w:headerReference w:type="default" r:id="rId161"/>
          <w:footerReference w:type="default" r:id="rId162"/>
          <w:pgSz w:w="12240" w:h="15840"/>
          <w:pgMar w:top="1417" w:right="1417" w:bottom="1417" w:left="1417" w:header="720" w:footer="720" w:gutter="0"/>
          <w:cols w:space="720"/>
        </w:sectPr>
      </w:pPr>
      <w:r>
        <w:rPr>
          <w:rFonts w:ascii="Times New Roman" w:hAnsi="Times New Roman" w:cs="Times New Roman"/>
          <w:noProof/>
          <w:kern w:val="0"/>
          <w:sz w:val="24"/>
          <w:szCs w:val="24"/>
          <w:lang w:eastAsia="fr-FR"/>
          <w14:ligatures w14:val="none"/>
        </w:rPr>
        <mc:AlternateContent>
          <mc:Choice Requires="wps">
            <w:drawing>
              <wp:anchor distT="0" distB="0" distL="114300" distR="114300" simplePos="0" relativeHeight="251700224" behindDoc="0" locked="0" layoutInCell="1" allowOverlap="1" wp14:anchorId="355B41ED" wp14:editId="08FCE3F0">
                <wp:simplePos x="0" y="0"/>
                <wp:positionH relativeFrom="margin">
                  <wp:posOffset>-127000</wp:posOffset>
                </wp:positionH>
                <wp:positionV relativeFrom="paragraph">
                  <wp:posOffset>2825750</wp:posOffset>
                </wp:positionV>
                <wp:extent cx="6781800" cy="3520440"/>
                <wp:effectExtent l="0" t="0" r="0" b="3810"/>
                <wp:wrapNone/>
                <wp:docPr id="2057767920" name="Text Box 33"/>
                <wp:cNvGraphicFramePr/>
                <a:graphic xmlns:a="http://schemas.openxmlformats.org/drawingml/2006/main">
                  <a:graphicData uri="http://schemas.microsoft.com/office/word/2010/wordprocessingShape">
                    <wps:wsp>
                      <wps:cNvSpPr txBox="1"/>
                      <wps:spPr>
                        <a:xfrm>
                          <a:off x="0" y="0"/>
                          <a:ext cx="6781800" cy="35204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642FB47A"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CONCLUSION</w:t>
                            </w: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 w14:anchorId="355B41ED" id="Text Box 33" o:spid="_x0000_s1054" type="#_x0000_t202" style="position:absolute;left:0;text-align:left;margin-left:-10pt;margin-top:222.5pt;width:534pt;height:277.2pt;z-index:25170022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uHYmUgIAAPYEAAAOAAAAZHJzL2Uyb0RvYy54bWysVE2P2jAQvVfqf7B8LwmU3aWIsKKsqCqh&#10;7qq06tk4NrHqeFzbkNBfv2OHAN2etuolsed73pvx7L6tNTkI5xWYgg4HOSXCcCiV2RX0+7fVuwkl&#10;PjBTMg1GFPQoPL2fv30za+xUjKACXQpHMIjx08YWtArBTrPM80rUzA/ACoNKCa5mAa9ul5WONRi9&#10;1tkoz2+zBlxpHXDhPUofOiWdp/hSCh4epfQiEF1QrC2kr0vfbfxm8xmb7hyzleKnMtg/VFEzZTDp&#10;OdQDC4zsnforVK24Aw8yDDjUGUipuEg9YDfD/EU3m4pZkXpBcLw9w+T/X1j+5bCxT46E9iO0SGAE&#10;pLF+6lEY+2mlq+MfKyWoRwiPZ9hEGwhH4e3dZDjJUcVR9/5mlI/HCdjs4m6dD58E1CQeCuqQlwQX&#10;O6x9wJRo2pvEbAZWSuvEjTZ/CNAwSrJLjekUjlpEO22+CklUmUqNAs/dbrvUjnSc41BinT3zKRg6&#10;REOJCV/pe3KJ3iKN2iv9z04pP5hw9q+VAZcASosgYgMHhiNc/kwMYeGys++h6ACIWIR22yICBR1N&#10;ejK3UB6RYwfd+HvLVwp5WDMfnpjDeUdMcIfDI36khqagXCtLSQXu90tZtMPxQw0lDe5NQf2vPXOC&#10;Ev3Z4GB+GEb2SUiX8c3dCC/uWrO91ph9vQTsa4ivhOXpGO2D7o/SQf0DV3wRs6KKGY65Cxr64zJ0&#10;zOITwcVikYxwtSwLa7OxPIaO8BpY7ANIlYYtwtRhcoIPlyvN4OkhiNt7fU9Wl+dq/gwAAP//AwBQ&#10;SwMEFAAGAAgAAAAhAJ1O4c/dAAAADAEAAA8AAABkcnMvZG93bnJldi54bWxMj8FOwzAMhu9IvENk&#10;JG5bAurQWupOCMQVxAZI3LLGaysap2qytbw93gluv+Vfnz+Xm9n36kRj7AIj3CwNKOI6uI4bhPfd&#10;82INKibLzvaBCeGHImyqy4vSFi5M/EanbWqUQDgWFqFNaSi0jnVL3sZlGIhldwijt0nGsdFutJPA&#10;fa9vjbnT3nYsF1o70GNL9ff26BE+Xg5fn5l5bZ78apjCbDT7XCNeX80P96ASzemvDGd9UYdKnPbh&#10;yC6qHmEheKkiZNlKwrlhsrWkPUKe5xnoqtT/n6h+AQAA//8DAFBLAQItABQABgAIAAAAIQC2gziS&#10;/gAAAOEBAAATAAAAAAAAAAAAAAAAAAAAAABbQ29udGVudF9UeXBlc10ueG1sUEsBAi0AFAAGAAgA&#10;AAAhADj9If/WAAAAlAEAAAsAAAAAAAAAAAAAAAAALwEAAF9yZWxzLy5yZWxzUEsBAi0AFAAGAAgA&#10;AAAhAHy4diZSAgAA9gQAAA4AAAAAAAAAAAAAAAAALgIAAGRycy9lMm9Eb2MueG1sUEsBAi0AFAAG&#10;AAgAAAAhAJ1O4c/dAAAADAEAAA8AAAAAAAAAAAAAAAAArAQAAGRycy9kb3ducmV2LnhtbFBLBQYA&#10;AAAABAAEAPMAAAC2BQAAAAA=&#10;" filled="f" stroked="f">
                <v:textbox>
                  <w:txbxContent>
                    <w:p w14:paraId="642FB47A"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CONCLUSION</w:t>
                      </w:r>
                    </w:p>
                  </w:txbxContent>
                </v:textbox>
                <w10:wrap anchorx="margin"/>
              </v:shape>
            </w:pict>
          </mc:Fallback>
        </mc:AlternateContent>
      </w:r>
    </w:p>
    <w:p w14:paraId="19938B89" w14:textId="77777777" w:rsidR="00502BB2" w:rsidRDefault="0069123E">
      <w:pPr>
        <w:pStyle w:val="Heading1"/>
        <w:rPr>
          <w:rFonts w:ascii="Segoe Print" w:hAnsi="Segoe Print"/>
          <w:b/>
          <w:bCs/>
          <w:color w:val="0D0D0D" w:themeColor="text1" w:themeTint="F2"/>
          <w:sz w:val="42"/>
          <w:szCs w:val="42"/>
        </w:rPr>
      </w:pPr>
      <w:bookmarkStart w:id="126" w:name="_Toc226577366"/>
      <w:r>
        <w:rPr>
          <w:rFonts w:ascii="Segoe Print" w:hAnsi="Segoe Print"/>
          <w:b/>
          <w:bCs/>
          <w:color w:val="0D0D0D" w:themeColor="text1" w:themeTint="F2"/>
          <w:sz w:val="42"/>
          <w:szCs w:val="42"/>
        </w:rPr>
        <w:lastRenderedPageBreak/>
        <w:t>Conclusion</w:t>
      </w:r>
      <w:bookmarkEnd w:id="126"/>
    </w:p>
    <w:p w14:paraId="4C5CB573" w14:textId="77777777" w:rsidR="00502BB2" w:rsidRDefault="00502BB2">
      <w:pPr>
        <w:spacing w:line="360" w:lineRule="auto"/>
        <w:ind w:firstLine="708"/>
        <w:jc w:val="both"/>
        <w:rPr>
          <w:rFonts w:asciiTheme="minorBidi" w:hAnsiTheme="minorBidi"/>
          <w:sz w:val="24"/>
          <w:szCs w:val="24"/>
        </w:rPr>
      </w:pPr>
    </w:p>
    <w:p w14:paraId="1BA9DCD7"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L’acidocétose diabétique est une complication aiguë grave du diabète qui peut évoluer vers une altération importante de la conscience, voire un coma, engageant ainsi le pronostic vital du patient. Dans ce travail rétrospectif réalisé au CHU de Tlemcen, nous avons comparé les paramètres cliniques et biologiques de patients hospitalisés en médecine interne et en réanimation, dans le but d’identifier les éléments associés à une forme plus sévère de la maladie.</w:t>
      </w:r>
    </w:p>
    <w:p w14:paraId="5E89D256"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Les résultats montrent que les patients admis en réanimation présentent une acidose métabolique plus marquée, avec une augmentation importante de l’anion gap et de l’osmolarité plasmatique, traduisant une accumulation plus élevée de corps cétoniques et une déshydratation plus sévère. L’état de conscience est également plus altéré dans ce groupe, comme en témoigne un score de Glasgow plus faible, ce qui confirme le lien entre la sévérité des troubles métaboliques et le risque de coma.</w:t>
      </w:r>
    </w:p>
    <w:p w14:paraId="685709DA"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Les déséquilibres électrolytiques observés, notamment l’augmentation du potassium et du chlore, ainsi que l’élévation des paramètres rénaux et hépatiques, montrent que l’acidocétose diabétique peut affecter plusieurs organes, en raison principalement de la déshydratation importante et de la diminution de la perfusion tissulaire. En revanche, certains paramètres comme la cétonurie, la glucosurie ou la température n’ont pas montré de différence significative entre les groupes, ce qui suggère qu’ils sont moins</w:t>
      </w:r>
      <w:r>
        <w:rPr>
          <w:rFonts w:asciiTheme="minorBidi" w:hAnsiTheme="minorBidi"/>
          <w:sz w:val="24"/>
          <w:szCs w:val="24"/>
        </w:rPr>
        <w:t xml:space="preserve"> utiles pour évaluer la gravité neurologique.</w:t>
      </w:r>
    </w:p>
    <w:p w14:paraId="6E21DD83"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Entre autres, l’anion gap, l’osmolarité plasmatique, le pH, les bicarbonates et le score de Glasgow apparaissent comme les indicateurs les plus pertinents pour apprécier la sévérité de l’acidocétose diabétique et repérer rapidement les patients à risque de coma.</w:t>
      </w:r>
    </w:p>
    <w:p w14:paraId="243BEB52" w14:textId="77777777" w:rsidR="00502BB2" w:rsidRDefault="0069123E">
      <w:pPr>
        <w:spacing w:line="360" w:lineRule="auto"/>
        <w:ind w:firstLine="708"/>
        <w:jc w:val="both"/>
        <w:rPr>
          <w:rFonts w:asciiTheme="minorBidi" w:hAnsiTheme="minorBidi"/>
          <w:sz w:val="24"/>
          <w:szCs w:val="24"/>
        </w:rPr>
      </w:pPr>
      <w:r>
        <w:rPr>
          <w:rFonts w:asciiTheme="minorBidi" w:hAnsiTheme="minorBidi"/>
          <w:sz w:val="24"/>
          <w:szCs w:val="24"/>
        </w:rPr>
        <w:t xml:space="preserve">Ces résultats soulignent l’importance d’un diagnostic précoce et d’une surveillance biologique attentive afin de prévenir l’aggravation de la maladie et d’améliorer la prise en </w:t>
      </w:r>
      <w:r>
        <w:rPr>
          <w:rFonts w:asciiTheme="minorBidi" w:hAnsiTheme="minorBidi"/>
          <w:sz w:val="24"/>
          <w:szCs w:val="24"/>
        </w:rPr>
        <w:lastRenderedPageBreak/>
        <w:t>charge des patients. Des études portant sur un plus grand nombre de patients et intégrant de nouveaux biomarqueurs pourraient permettre d’affiner davantage l’évaluation du risque et d’optimiser les stratégies thérapeutiques</w:t>
      </w:r>
    </w:p>
    <w:p w14:paraId="29BF5EAA" w14:textId="77777777" w:rsidR="00502BB2" w:rsidRDefault="00502BB2"/>
    <w:p w14:paraId="2D9F6A3D" w14:textId="77777777" w:rsidR="00502BB2" w:rsidRDefault="00502BB2">
      <w:pPr>
        <w:rPr>
          <w:b/>
          <w:bCs/>
        </w:rPr>
      </w:pPr>
    </w:p>
    <w:p w14:paraId="57BB6EC4" w14:textId="77777777" w:rsidR="00502BB2" w:rsidRDefault="00502BB2">
      <w:pPr>
        <w:rPr>
          <w:b/>
          <w:bCs/>
        </w:rPr>
      </w:pPr>
    </w:p>
    <w:p w14:paraId="4C952F6B" w14:textId="77777777" w:rsidR="00502BB2" w:rsidRDefault="00502BB2">
      <w:pPr>
        <w:rPr>
          <w:b/>
          <w:bCs/>
        </w:rPr>
        <w:sectPr w:rsidR="00502BB2">
          <w:headerReference w:type="default" r:id="rId163"/>
          <w:footerReference w:type="default" r:id="rId164"/>
          <w:pgSz w:w="12240" w:h="15840"/>
          <w:pgMar w:top="1417" w:right="1417" w:bottom="1417" w:left="1417" w:header="720" w:footer="720" w:gutter="0"/>
          <w:cols w:space="720"/>
        </w:sectPr>
      </w:pPr>
    </w:p>
    <w:p w14:paraId="1248EA06" w14:textId="77777777" w:rsidR="00502BB2" w:rsidRDefault="00502BB2">
      <w:pPr>
        <w:rPr>
          <w:b/>
          <w:bCs/>
        </w:rPr>
      </w:pPr>
    </w:p>
    <w:p w14:paraId="1246ACF8" w14:textId="77777777" w:rsidR="00502BB2" w:rsidRDefault="00502BB2"/>
    <w:p w14:paraId="3C664FD4" w14:textId="77777777" w:rsidR="00502BB2" w:rsidRDefault="00502BB2"/>
    <w:p w14:paraId="3C115886" w14:textId="77777777" w:rsidR="00502BB2" w:rsidRDefault="00502BB2"/>
    <w:p w14:paraId="007DE4BA" w14:textId="77777777" w:rsidR="00502BB2" w:rsidRDefault="00502BB2"/>
    <w:p w14:paraId="78BC5117" w14:textId="77777777" w:rsidR="00502BB2" w:rsidRDefault="00502BB2"/>
    <w:p w14:paraId="6B7FCEEC" w14:textId="77777777" w:rsidR="00502BB2" w:rsidRDefault="00502BB2"/>
    <w:p w14:paraId="21322AF3" w14:textId="77777777" w:rsidR="00502BB2" w:rsidRDefault="0069123E">
      <w:r>
        <w:rPr>
          <w:noProof/>
        </w:rPr>
        <mc:AlternateContent>
          <mc:Choice Requires="wps">
            <w:drawing>
              <wp:anchor distT="0" distB="0" distL="114300" distR="114300" simplePos="0" relativeHeight="251703296" behindDoc="0" locked="0" layoutInCell="1" allowOverlap="1" wp14:anchorId="68C1228F" wp14:editId="5457C6E0">
                <wp:simplePos x="0" y="0"/>
                <wp:positionH relativeFrom="margin">
                  <wp:align>right</wp:align>
                </wp:positionH>
                <wp:positionV relativeFrom="paragraph">
                  <wp:posOffset>145415</wp:posOffset>
                </wp:positionV>
                <wp:extent cx="5372100" cy="3166110"/>
                <wp:effectExtent l="895350" t="0" r="19050" b="777240"/>
                <wp:wrapNone/>
                <wp:docPr id="415910855" name="Callout: Double Bent Line with No Border 23"/>
                <wp:cNvGraphicFramePr/>
                <a:graphic xmlns:a="http://schemas.openxmlformats.org/drawingml/2006/main">
                  <a:graphicData uri="http://schemas.microsoft.com/office/word/2010/wordprocessingShape">
                    <wps:wsp>
                      <wps:cNvSpPr/>
                      <wps:spPr>
                        <a:xfrm>
                          <a:off x="0" y="0"/>
                          <a:ext cx="5372100" cy="3166110"/>
                        </a:xfrm>
                        <a:prstGeom prst="callout3">
                          <a:avLst>
                            <a:gd name="adj1" fmla="val 18750"/>
                            <a:gd name="adj2" fmla="val -2801"/>
                            <a:gd name="adj3" fmla="val 18750"/>
                            <a:gd name="adj4" fmla="val -16667"/>
                            <a:gd name="adj5" fmla="val 100000"/>
                            <a:gd name="adj6" fmla="val -16667"/>
                            <a:gd name="adj7" fmla="val 123793"/>
                            <a:gd name="adj8" fmla="val -3014"/>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headEnd type="none" w="med" len="med"/>
                          <a:tailEnd type="none" w="med" len="med"/>
                        </a:ln>
                        <a:effectLst/>
                      </wps:spPr>
                      <wps:txbx>
                        <w:txbxContent>
                          <w:p w14:paraId="462A9200" w14:textId="77777777" w:rsidR="00502BB2" w:rsidRDefault="00502BB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68C1228F" id="_x0000_s1055" type="#_x0000_t43" style="position:absolute;margin-left:371.8pt;margin-top:11.45pt;width:423pt;height:249.3pt;z-index:251703296;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U+WUQMAACMIAAAOAAAAZHJzL2Uyb0RvYy54bWysVctu2zgU3ReYfyC4TyxZfsWIUgRJMxgg&#10;bQKkg6wZirJY8KEh6dier+8hJduaJimCdryQKfLo8txzX+cft1qRZ+G8tKak+WlGiTDcVtKsSvr3&#10;15uTBSU+MFMxZY0o6U54+vHijw/nm3YpxraxqhKOwIjxy01b0iaEdjkaed4IzfypbYXBYW2dZgGv&#10;bjWqHNvAulajcZbNRhvrqtZZLrzH7nV3SC+S/boWPNzVtReBqJKCW0hPl55P8Tm6OGfLlWNtI3lP&#10;g/0CC82kwaUHU9csMLJ28oUpLbmz3tbhlFs9snUtuUg+wJs8+8Gbh4a1IvkCcXx7kMn/f2b5l+eH&#10;9t5Bhk3rlx7L6MW2djr+gx/ZJrF2B7HENhCOzWkxH+cZNOU4K/LZLM+TnKPj563z4U9hNYmLknKm&#10;lF2HIgnFnm99SIpVxDCN1GDVt5ySWisE4Jkpki/m032ABpjxEHMyXmR5H8QBphhi3rAzGWJOwH82&#10;f2loOgTBW/xegmZD0FuW5kNQPi7mZ8VLSyiWo/8nRZZPIgaK9mphtde0T7bqRipFnA2PMjQpX1CF&#10;XSb6vcCetBYpk6Vtv/NXyhEIXFLUUWU3XxFRShTzAQeAdV5G+2qtP9uqwyK6B+c9C8f9bHrYD9KE&#10;Dj2b95tg3N2Y3Fj5RLsnFD/8TVKDy/9LqniF1Hy/+TNSfZAjz1+W6k1WZ6+wWsQb+zD/IBV4rvZR&#10;VNIQFpvqdAJ8rDuPehJVX5cR6ljKhhQ5QzYlnRUoIMIZ+mqtGILMdYsPvFlRwtQKDZsH12WFVfLw&#10;8Xv97lLTDz+N2XnNfNNlQTrqslzLgD6vpC7pouOfOm8jWPXJVCTsWnQAgxFBI3EtKmSkAMG4SsjA&#10;pHoPEkIoEyUQqfujBiLNY3OLq7B92hIJJcZn0XjcerLV7t7FQoqCEt/yGwlfblEV98yhI2ETYy7c&#10;4VErC462X1HSWPfva/sRj06NUziFEQPl/1kzBxfVXwYFeZZPJjAb0stkOh/jxQ1PnoYnZq2vLIoW&#10;PRLs0jLig9ova2f1I6bhZbwVR8xw3N3FuH+5Ct3owzzl4vIywTCHWhZuzUPL963D2Mt1sLU8SNep&#10;0+uISdQVczc146gbvifUcbZffAcAAP//AwBQSwMEFAAGAAgAAAAhAO/WiLDdAAAABwEAAA8AAABk&#10;cnMvZG93bnJldi54bWxMj8FOwzAQRO9I/IO1SFwQdRLREkI2FaKCS1UhCh/gxtskIl5HsZuGv2c5&#10;wXFnRjNvy/XsejXRGDrPCOkiAUVce9txg/D58XKbgwrRsDW9Z0L4pgDr6vKiNIX1Z36naR8bJSUc&#10;CoPQxjgUWoe6JWfCwg/E4h396EyUc2y0Hc1Zyl2vsyRZaWc6loXWDPTcUv21PzmEzXa84eY+f3t1&#10;U9imdjPt8vSIeH01Pz2CijTHvzD84gs6VMJ08Ce2QfUI8khEyLIHUOLmdysRDgjLLF2Crkr9n7/6&#10;AQAA//8DAFBLAQItABQABgAIAAAAIQC2gziS/gAAAOEBAAATAAAAAAAAAAAAAAAAAAAAAABbQ29u&#10;dGVudF9UeXBlc10ueG1sUEsBAi0AFAAGAAgAAAAhADj9If/WAAAAlAEAAAsAAAAAAAAAAAAAAAAA&#10;LwEAAF9yZWxzLy5yZWxzUEsBAi0AFAAGAAgAAAAhAOEBT5ZRAwAAIwgAAA4AAAAAAAAAAAAAAAAA&#10;LgIAAGRycy9lMm9Eb2MueG1sUEsBAi0AFAAGAAgAAAAhAO/WiLDdAAAABwEAAA8AAAAAAAAAAAAA&#10;AAAAqwUAAGRycy9kb3ducmV2LnhtbFBLBQYAAAAABAAEAPMAAAC1BgAAAAA=&#10;" adj="-651,26739,-3600,,-3600,,-605" fillcolor="#9b9b9b" strokecolor="windowText" strokeweight=".5pt">
                <v:fill color2="#797979" rotate="t" colors="0 #9b9b9b;.5 #8e8e8e;1 #797979" focus="100%" type="gradient">
                  <o:fill v:ext="view" type="gradientUnscaled"/>
                </v:fill>
                <v:textbox>
                  <w:txbxContent>
                    <w:p w14:paraId="462A9200" w14:textId="77777777" w:rsidR="00502BB2" w:rsidRDefault="00502BB2"/>
                  </w:txbxContent>
                </v:textbox>
                <o:callout v:ext="edit" minusx="t" minusy="t"/>
                <w10:wrap anchorx="margin"/>
              </v:shape>
            </w:pict>
          </mc:Fallback>
        </mc:AlternateContent>
      </w:r>
    </w:p>
    <w:p w14:paraId="1CA65F75" w14:textId="77777777" w:rsidR="00502BB2" w:rsidRDefault="0069123E">
      <w:r>
        <w:rPr>
          <w:rFonts w:ascii="Times New Roman" w:hAnsi="Times New Roman" w:cs="Times New Roman"/>
          <w:noProof/>
          <w:kern w:val="0"/>
          <w:sz w:val="24"/>
          <w:szCs w:val="24"/>
          <w:lang w:eastAsia="fr-FR"/>
          <w14:ligatures w14:val="none"/>
        </w:rPr>
        <mc:AlternateContent>
          <mc:Choice Requires="wps">
            <w:drawing>
              <wp:anchor distT="0" distB="0" distL="114300" distR="114300" simplePos="0" relativeHeight="251704320" behindDoc="0" locked="0" layoutInCell="1" allowOverlap="1" wp14:anchorId="4675740A" wp14:editId="22F1765B">
                <wp:simplePos x="0" y="0"/>
                <wp:positionH relativeFrom="margin">
                  <wp:posOffset>-114300</wp:posOffset>
                </wp:positionH>
                <wp:positionV relativeFrom="paragraph">
                  <wp:posOffset>132715</wp:posOffset>
                </wp:positionV>
                <wp:extent cx="6781800" cy="3520440"/>
                <wp:effectExtent l="0" t="0" r="0" b="3810"/>
                <wp:wrapNone/>
                <wp:docPr id="1352070108" name="Text Box 33"/>
                <wp:cNvGraphicFramePr/>
                <a:graphic xmlns:a="http://schemas.openxmlformats.org/drawingml/2006/main">
                  <a:graphicData uri="http://schemas.microsoft.com/office/word/2010/wordprocessingShape">
                    <wps:wsp>
                      <wps:cNvSpPr txBox="1"/>
                      <wps:spPr>
                        <a:xfrm>
                          <a:off x="0" y="0"/>
                          <a:ext cx="6781800" cy="35204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4A3061AF"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Références </w:t>
                            </w:r>
                          </w:p>
                          <w:p w14:paraId="3D204673"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bibliographiques</w:t>
                            </w: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 w14:anchorId="4675740A" id="_x0000_s1056" type="#_x0000_t202" style="position:absolute;margin-left:-9pt;margin-top:10.45pt;width:534pt;height:277.2pt;z-index:251704320;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cQFUAIAAPYEAAAOAAAAZHJzL2Uyb0RvYy54bWysVEtvEzEQviPxHyzfySYhbUOUTRVSBSFF&#10;tCIgzo7XzlrYHmM72Q2/vmNvXpRTEZdde97zfTOe3rdGk73wQYEt6aDXp0RYDpWy25J+/7Z8N6Yk&#10;RGYrpsGKkh5EoPezt2+mjZuIIdSgK+EJBrFh0riS1jG6SVEEXgvDQg+csKiU4A2LePXbovKswehG&#10;F8N+/7ZowFfOAxchoPShU9JZji+l4PFRyiAi0SXF2mL++vzdpG8xm7LJ1jNXK34sg/1DFYYpi0nP&#10;oR5YZGTn1V+hjOIeAsjY42AKkFJxkXvAbgb9F92sa+ZE7gXBCe4MU/h/YfmX/do9eRLbj9AigQmQ&#10;xoVJQGHqp5XepD9WSlCPEB7OsIk2Eo7C27vxYNxHFUfd+5thfzTKwBYXd+dD/CTAkHQoqUdeMlxs&#10;vwoRU6LpySRls7BUWmdutP1DgIZJUlxqzKd40CLZaftVSKKqXGoSBO63m4X2pOMchxLrPDGfg6FD&#10;MpSY8JW+R5fkLfKovdL/7JTzg41nf6Ms+AxQXgSRGtgzHOHqZ2YIC5ed/QmKDoCERWw3LSKATGQS&#10;kmgD1QE59tCNf3B8qZCHFQvxiXmcd8QEdzg+4kdqaErKtXKU1OB/v5QlOxw/1FDS4N6UNPzaMS8o&#10;0Z8tDuaHQWKfxHwZ3dwN8eKvNZtrjd2ZBWBfA3wlHM/HZB/16Sg9mB+44vOUFVXMcsxd0ng6LmLH&#10;LD4RXMzn2QhXy7G4smvHU+gEr4X5LoJUedgumBzhw+XKM3h8CNL2Xt+z1eW5mj0DAAD//wMAUEsD&#10;BBQABgAIAAAAIQAzCOrS3wAAAAsBAAAPAAAAZHJzL2Rvd25yZXYueG1sTI/NTsMwEITvSLyDtUjc&#10;2nULgTZkUyEQVxDlR+LmxtskIl5HsduEt8c9wXF2RrPfFJvJderIQ2i9ECzmGhRL5W0rNcH729Ns&#10;BSpEI9Z0XpjghwNsyvOzwuTWj/LKx22sVSqRkBuCJsY+RwxVw86Eue9Zkrf3gzMxyaFGO5gxlbsO&#10;l1rfoDOtpA+N6fmh4ep7e3AEH8/7r89r/VI/uqwf/aRR3BqJLi+m+ztQkaf4F4YTfkKHMjHt/EFs&#10;UB3BbLFKWyLBUq9BnQI60+myI8husyvAssD/G8pfAAAA//8DAFBLAQItABQABgAIAAAAIQC2gziS&#10;/gAAAOEBAAATAAAAAAAAAAAAAAAAAAAAAABbQ29udGVudF9UeXBlc10ueG1sUEsBAi0AFAAGAAgA&#10;AAAhADj9If/WAAAAlAEAAAsAAAAAAAAAAAAAAAAALwEAAF9yZWxzLy5yZWxzUEsBAi0AFAAGAAgA&#10;AAAhAKiRxAVQAgAA9gQAAA4AAAAAAAAAAAAAAAAALgIAAGRycy9lMm9Eb2MueG1sUEsBAi0AFAAG&#10;AAgAAAAhADMI6tLfAAAACwEAAA8AAAAAAAAAAAAAAAAAqgQAAGRycy9kb3ducmV2LnhtbFBLBQYA&#10;AAAABAAEAPMAAAC2BQAAAAA=&#10;" filled="f" stroked="f">
                <v:textbox>
                  <w:txbxContent>
                    <w:p w14:paraId="4A3061AF"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 xml:space="preserve">Références </w:t>
                      </w:r>
                    </w:p>
                    <w:p w14:paraId="3D204673"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bibliographiques</w:t>
                      </w:r>
                    </w:p>
                  </w:txbxContent>
                </v:textbox>
                <w10:wrap anchorx="margin"/>
              </v:shape>
            </w:pict>
          </mc:Fallback>
        </mc:AlternateContent>
      </w:r>
    </w:p>
    <w:p w14:paraId="35A8C14E" w14:textId="77777777" w:rsidR="00502BB2" w:rsidRDefault="00502BB2"/>
    <w:p w14:paraId="260C90D9" w14:textId="77777777" w:rsidR="00502BB2" w:rsidRDefault="0069123E">
      <w:pPr>
        <w:tabs>
          <w:tab w:val="left" w:pos="3220"/>
        </w:tabs>
        <w:rPr>
          <w:b/>
          <w:bCs/>
        </w:rPr>
        <w:sectPr w:rsidR="00502BB2">
          <w:headerReference w:type="default" r:id="rId165"/>
          <w:footerReference w:type="default" r:id="rId166"/>
          <w:pgSz w:w="12240" w:h="15840"/>
          <w:pgMar w:top="1417" w:right="1417" w:bottom="1417" w:left="1417" w:header="720" w:footer="720" w:gutter="0"/>
          <w:cols w:space="720"/>
        </w:sectPr>
      </w:pPr>
      <w:r>
        <w:rPr>
          <w:b/>
          <w:bCs/>
        </w:rPr>
        <w:tab/>
      </w:r>
    </w:p>
    <w:p w14:paraId="4B1DA18F" w14:textId="77777777" w:rsidR="00502BB2" w:rsidRDefault="0069123E">
      <w:pPr>
        <w:tabs>
          <w:tab w:val="left" w:pos="3220"/>
        </w:tabs>
      </w:pPr>
      <w:r>
        <w:lastRenderedPageBreak/>
        <w:tab/>
      </w:r>
    </w:p>
    <w:bookmarkStart w:id="127" w:name="_Toc226577367" w:displacedByCustomXml="next"/>
    <w:sdt>
      <w:sdtPr>
        <w:rPr>
          <w:rFonts w:asciiTheme="minorHAnsi" w:eastAsiaTheme="minorHAnsi" w:hAnsiTheme="minorHAnsi" w:cstheme="minorBidi"/>
          <w:color w:val="auto"/>
          <w:sz w:val="22"/>
          <w:szCs w:val="22"/>
        </w:rPr>
        <w:id w:val="-830371082"/>
        <w:docPartObj>
          <w:docPartGallery w:val="AutoText"/>
        </w:docPartObj>
      </w:sdtPr>
      <w:sdtEndPr/>
      <w:sdtContent>
        <w:bookmarkEnd w:id="127" w:displacedByCustomXml="next"/>
        <w:sdt>
          <w:sdtPr>
            <w:rPr>
              <w:rFonts w:asciiTheme="minorHAnsi" w:eastAsiaTheme="minorHAnsi" w:hAnsiTheme="minorHAnsi" w:cstheme="minorBidi"/>
              <w:color w:val="auto"/>
              <w:sz w:val="22"/>
              <w:szCs w:val="22"/>
            </w:rPr>
            <w:id w:val="1003930914"/>
            <w:docPartObj>
              <w:docPartGallery w:val="Bibliographies"/>
              <w:docPartUnique/>
            </w:docPartObj>
          </w:sdtPr>
          <w:sdtEndPr/>
          <w:sdtContent>
            <w:p w14:paraId="1E2D25E3" w14:textId="2669D483" w:rsidR="001E3217" w:rsidRPr="00781496" w:rsidRDefault="003B1804" w:rsidP="00781496">
              <w:pPr>
                <w:pStyle w:val="Heading1"/>
                <w:rPr>
                  <w:rFonts w:ascii="Segoe Print" w:hAnsi="Segoe Print"/>
                  <w:b/>
                  <w:bCs/>
                  <w:color w:val="auto"/>
                  <w:lang w:val="en-US"/>
                </w:rPr>
              </w:pPr>
              <w:r w:rsidRPr="00781496">
                <w:rPr>
                  <w:rFonts w:ascii="Segoe Print" w:hAnsi="Segoe Print"/>
                  <w:b/>
                  <w:bCs/>
                  <w:color w:val="auto"/>
                  <w:lang w:val="en-US"/>
                </w:rPr>
                <w:t>Bibliograph</w:t>
              </w:r>
              <w:r>
                <w:rPr>
                  <w:rFonts w:ascii="Segoe Print" w:hAnsi="Segoe Print"/>
                  <w:b/>
                  <w:bCs/>
                  <w:color w:val="auto"/>
                  <w:lang w:val="en-US"/>
                </w:rPr>
                <w:t>ies</w:t>
              </w:r>
            </w:p>
            <w:sdt>
              <w:sdtPr>
                <w:id w:val="111145805"/>
                <w:bibliography/>
              </w:sdtPr>
              <w:sdtEndPr/>
              <w:sdtContent>
                <w:p w14:paraId="5EA6E30D" w14:textId="77777777" w:rsidR="001E3217" w:rsidRPr="001E3217" w:rsidRDefault="001E3217" w:rsidP="001E3217">
                  <w:pPr>
                    <w:pStyle w:val="Bibliography"/>
                    <w:ind w:left="720" w:hanging="720"/>
                    <w:rPr>
                      <w:noProof/>
                      <w:kern w:val="0"/>
                      <w:sz w:val="24"/>
                      <w:szCs w:val="24"/>
                      <w:lang w:val="en-US"/>
                      <w14:ligatures w14:val="none"/>
                    </w:rPr>
                  </w:pPr>
                  <w:r>
                    <w:fldChar w:fldCharType="begin"/>
                  </w:r>
                  <w:r w:rsidRPr="001E3217">
                    <w:rPr>
                      <w:lang w:val="en-US"/>
                    </w:rPr>
                    <w:instrText xml:space="preserve"> BIBLIOGRAPHY </w:instrText>
                  </w:r>
                  <w:r>
                    <w:fldChar w:fldCharType="separate"/>
                  </w:r>
                  <w:r w:rsidRPr="001E3217">
                    <w:rPr>
                      <w:noProof/>
                      <w:lang w:val="en-US"/>
                    </w:rPr>
                    <w:t xml:space="preserve">A, R. (2024). </w:t>
                  </w:r>
                  <w:r w:rsidRPr="001E3217">
                    <w:rPr>
                      <w:i/>
                      <w:iCs/>
                      <w:noProof/>
                      <w:lang w:val="en-US"/>
                    </w:rPr>
                    <w:t>Anion gap as predictor of outcomes in hyperglycemic crises.</w:t>
                  </w:r>
                  <w:r w:rsidRPr="001E3217">
                    <w:rPr>
                      <w:noProof/>
                      <w:lang w:val="en-US"/>
                    </w:rPr>
                    <w:t xml:space="preserve"> Crit Care Med. doi:10.1097/CCM.0000000000006123</w:t>
                  </w:r>
                </w:p>
                <w:p w14:paraId="43614AE8" w14:textId="77777777" w:rsidR="001E3217" w:rsidRPr="001E3217" w:rsidRDefault="001E3217" w:rsidP="001E3217">
                  <w:pPr>
                    <w:pStyle w:val="Bibliography"/>
                    <w:ind w:left="720" w:hanging="720"/>
                    <w:rPr>
                      <w:noProof/>
                      <w:lang w:val="en-US"/>
                    </w:rPr>
                  </w:pPr>
                  <w:r w:rsidRPr="001E3217">
                    <w:rPr>
                      <w:noProof/>
                      <w:lang w:val="en-US"/>
                    </w:rPr>
                    <w:t xml:space="preserve">A. Khajuria, J. K. (2005). </w:t>
                  </w:r>
                  <w:r w:rsidRPr="001E3217">
                    <w:rPr>
                      <w:i/>
                      <w:iCs/>
                      <w:noProof/>
                      <w:lang w:val="en-US"/>
                    </w:rPr>
                    <w:t>Osmolality revisited—Deriving and validating the best formula for calculated osmolality,</w:t>
                  </w:r>
                  <w:r w:rsidRPr="001E3217">
                    <w:rPr>
                      <w:noProof/>
                      <w:lang w:val="en-US"/>
                    </w:rPr>
                    <w:t xml:space="preserve"> (Vol. 38). Clinical Biochemistry,. doi:https://doi.org/10.1016/j.clinbiochem.2005.03.001.</w:t>
                  </w:r>
                </w:p>
                <w:p w14:paraId="06837050" w14:textId="77777777" w:rsidR="001E3217" w:rsidRPr="001E3217" w:rsidRDefault="001E3217" w:rsidP="001E3217">
                  <w:pPr>
                    <w:pStyle w:val="Bibliography"/>
                    <w:ind w:left="720" w:hanging="720"/>
                    <w:rPr>
                      <w:noProof/>
                      <w:lang w:val="en-US"/>
                    </w:rPr>
                  </w:pPr>
                  <w:r w:rsidRPr="001E3217">
                    <w:rPr>
                      <w:noProof/>
                      <w:lang w:val="en-US"/>
                    </w:rPr>
                    <w:t xml:space="preserve">Abady, E. &amp;. (2025). </w:t>
                  </w:r>
                  <w:r w:rsidRPr="001E3217">
                    <w:rPr>
                      <w:i/>
                      <w:iCs/>
                      <w:noProof/>
                      <w:lang w:val="en-US"/>
                    </w:rPr>
                    <w:t>A narrative review of the diabetic ketoacidosis and hyperosmolar hyperglycemic state overlap syndrome.</w:t>
                  </w:r>
                  <w:r w:rsidRPr="001E3217">
                    <w:rPr>
                      <w:noProof/>
                      <w:lang w:val="en-US"/>
                    </w:rPr>
                    <w:t xml:space="preserve"> International Journal of Emergency Medicine. doi:18. 10.1186/s12245-025-01078-w.</w:t>
                  </w:r>
                </w:p>
                <w:p w14:paraId="7B787238" w14:textId="77777777" w:rsidR="001E3217" w:rsidRPr="001E3217" w:rsidRDefault="001E3217" w:rsidP="001E3217">
                  <w:pPr>
                    <w:pStyle w:val="Bibliography"/>
                    <w:ind w:left="720" w:hanging="720"/>
                    <w:rPr>
                      <w:noProof/>
                      <w:lang w:val="en-US"/>
                    </w:rPr>
                  </w:pPr>
                  <w:r w:rsidRPr="001E3217">
                    <w:rPr>
                      <w:noProof/>
                      <w:lang w:val="en-US"/>
                    </w:rPr>
                    <w:t xml:space="preserve">Ağaçkıran İ, A. M. (2025). </w:t>
                  </w:r>
                  <w:r w:rsidRPr="001E3217">
                    <w:rPr>
                      <w:i/>
                      <w:iCs/>
                      <w:noProof/>
                      <w:lang w:val="en-US"/>
                    </w:rPr>
                    <w:t>Prognostic value of lactate-to-hemoglobin ratio in nontraumatic critically ill patients presenting to the emergency department: a retrospective cohort study.</w:t>
                  </w:r>
                  <w:r w:rsidRPr="001E3217">
                    <w:rPr>
                      <w:noProof/>
                      <w:lang w:val="en-US"/>
                    </w:rPr>
                    <w:t xml:space="preserve"> BMC Emerg Med. doi:10.1186/s12873-025-01371-0</w:t>
                  </w:r>
                </w:p>
                <w:p w14:paraId="56C2C148" w14:textId="77777777" w:rsidR="001E3217" w:rsidRDefault="001E3217" w:rsidP="001E3217">
                  <w:pPr>
                    <w:pStyle w:val="Bibliography"/>
                    <w:ind w:left="720" w:hanging="720"/>
                    <w:rPr>
                      <w:noProof/>
                    </w:rPr>
                  </w:pPr>
                  <w:r w:rsidRPr="001E3217">
                    <w:rPr>
                      <w:noProof/>
                      <w:lang w:val="en-US"/>
                    </w:rPr>
                    <w:t xml:space="preserve">Aidar R. Gosmanov, E. O. (2021). </w:t>
                  </w:r>
                  <w:r w:rsidRPr="001E3217">
                    <w:rPr>
                      <w:i/>
                      <w:iCs/>
                      <w:noProof/>
                      <w:lang w:val="en-US"/>
                    </w:rPr>
                    <w:t>HYPERGLYCEMIC CRISES: DIABETIC KETOACIDOSIS AND HYPERGLYCEMIC HYPEROSMOLAR STATE.</w:t>
                  </w:r>
                  <w:r w:rsidRPr="001E3217">
                    <w:rPr>
                      <w:noProof/>
                      <w:lang w:val="en-US"/>
                    </w:rPr>
                    <w:t xml:space="preserve"> </w:t>
                  </w:r>
                  <w:r>
                    <w:rPr>
                      <w:noProof/>
                    </w:rPr>
                    <w:t>Récupéré sur https://endotext.org/wp-content/uploads/pdfs/hyperglycemic-crises-diabetic-ketoacidosis-dka-and-hyperglycemic.pdf</w:t>
                  </w:r>
                </w:p>
                <w:p w14:paraId="087DD993" w14:textId="77777777" w:rsidR="001E3217" w:rsidRDefault="001E3217" w:rsidP="001E3217">
                  <w:pPr>
                    <w:pStyle w:val="Bibliography"/>
                    <w:ind w:left="720" w:hanging="720"/>
                    <w:rPr>
                      <w:noProof/>
                    </w:rPr>
                  </w:pPr>
                  <w:r w:rsidRPr="001E3217">
                    <w:rPr>
                      <w:noProof/>
                      <w:lang w:val="en-US"/>
                    </w:rPr>
                    <w:t xml:space="preserve">al, A. A. (2020). </w:t>
                  </w:r>
                  <w:r w:rsidRPr="001E3217">
                    <w:rPr>
                      <w:i/>
                      <w:iCs/>
                      <w:noProof/>
                      <w:lang w:val="en-US"/>
                    </w:rPr>
                    <w:t>Urine dipsticks are not accurate for detecting mild ketosis.</w:t>
                  </w:r>
                  <w:r w:rsidRPr="001E3217">
                    <w:rPr>
                      <w:noProof/>
                      <w:lang w:val="en-US"/>
                    </w:rPr>
                    <w:t xml:space="preserve"> </w:t>
                  </w:r>
                  <w:r>
                    <w:rPr>
                      <w:noProof/>
                    </w:rPr>
                    <w:t>Récupéré sur https://onlinelibrary.wiley.com/doi/pdfdirect/10.1002/osp4.432?utm_source=consensus</w:t>
                  </w:r>
                </w:p>
                <w:p w14:paraId="5F109DE3" w14:textId="77777777" w:rsidR="001E3217" w:rsidRPr="001E3217" w:rsidRDefault="001E3217" w:rsidP="001E3217">
                  <w:pPr>
                    <w:pStyle w:val="Bibliography"/>
                    <w:ind w:left="720" w:hanging="720"/>
                    <w:rPr>
                      <w:noProof/>
                      <w:lang w:val="en-US"/>
                    </w:rPr>
                  </w:pPr>
                  <w:r w:rsidRPr="001E3217">
                    <w:rPr>
                      <w:noProof/>
                      <w:lang w:val="en-US"/>
                    </w:rPr>
                    <w:t xml:space="preserve">al, K. M. (2021). </w:t>
                  </w:r>
                  <w:r w:rsidRPr="001E3217">
                    <w:rPr>
                      <w:i/>
                      <w:iCs/>
                      <w:noProof/>
                      <w:lang w:val="en-US"/>
                    </w:rPr>
                    <w:t>Hemodynamic patterns in severe DKA.</w:t>
                  </w:r>
                  <w:r w:rsidRPr="001E3217">
                    <w:rPr>
                      <w:noProof/>
                      <w:lang w:val="en-US"/>
                    </w:rPr>
                    <w:t xml:space="preserve"> Ann Intensive Care. doi:10.1186/s13613-021-00876-4</w:t>
                  </w:r>
                </w:p>
                <w:p w14:paraId="1B86043B" w14:textId="77777777" w:rsidR="001E3217" w:rsidRPr="001E3217" w:rsidRDefault="001E3217" w:rsidP="001E3217">
                  <w:pPr>
                    <w:pStyle w:val="Bibliography"/>
                    <w:ind w:left="720" w:hanging="720"/>
                    <w:rPr>
                      <w:noProof/>
                      <w:lang w:val="en-US"/>
                    </w:rPr>
                  </w:pPr>
                  <w:r w:rsidRPr="001E3217">
                    <w:rPr>
                      <w:noProof/>
                      <w:lang w:val="en-US"/>
                    </w:rPr>
                    <w:t xml:space="preserve">al., E. M. (2025). </w:t>
                  </w:r>
                  <w:r w:rsidRPr="001E3217">
                    <w:rPr>
                      <w:i/>
                      <w:iCs/>
                      <w:noProof/>
                      <w:lang w:val="en-US"/>
                    </w:rPr>
                    <w:t>Osmolality and anion gap in predicting DKA severity.</w:t>
                  </w:r>
                  <w:r w:rsidRPr="001E3217">
                    <w:rPr>
                      <w:noProof/>
                      <w:lang w:val="en-US"/>
                    </w:rPr>
                    <w:t xml:space="preserve"> J Crit Care. doi: 10.1016/j.jcrc.2024.154892</w:t>
                  </w:r>
                </w:p>
                <w:p w14:paraId="7F5CFB16" w14:textId="77777777" w:rsidR="001E3217" w:rsidRPr="001E3217" w:rsidRDefault="001E3217" w:rsidP="001E3217">
                  <w:pPr>
                    <w:pStyle w:val="Bibliography"/>
                    <w:ind w:left="720" w:hanging="720"/>
                    <w:rPr>
                      <w:noProof/>
                      <w:lang w:val="en-US"/>
                    </w:rPr>
                  </w:pPr>
                  <w:r w:rsidRPr="001E3217">
                    <w:rPr>
                      <w:noProof/>
                      <w:lang w:val="en-US"/>
                    </w:rPr>
                    <w:t xml:space="preserve">Alyahyawi, N. A. (2025). </w:t>
                  </w:r>
                  <w:r w:rsidRPr="001E3217">
                    <w:rPr>
                      <w:i/>
                      <w:iCs/>
                      <w:noProof/>
                      <w:lang w:val="en-US"/>
                    </w:rPr>
                    <w:t>Risk factors of acute kidney injury in children with diabetic ketoacidosis.</w:t>
                  </w:r>
                  <w:r w:rsidRPr="001E3217">
                    <w:rPr>
                      <w:noProof/>
                      <w:lang w:val="en-US"/>
                    </w:rPr>
                    <w:t xml:space="preserve"> BMC Nephrology,. doi:https://doi.org/10.1186/s12882-025-04178-0.</w:t>
                  </w:r>
                </w:p>
                <w:p w14:paraId="2D1968EA" w14:textId="77777777" w:rsidR="001E3217" w:rsidRPr="001E3217" w:rsidRDefault="001E3217" w:rsidP="001E3217">
                  <w:pPr>
                    <w:pStyle w:val="Bibliography"/>
                    <w:ind w:left="720" w:hanging="720"/>
                    <w:rPr>
                      <w:noProof/>
                      <w:lang w:val="en-US"/>
                    </w:rPr>
                  </w:pPr>
                  <w:r w:rsidRPr="001E3217">
                    <w:rPr>
                      <w:noProof/>
                      <w:lang w:val="en-US"/>
                    </w:rPr>
                    <w:t xml:space="preserve">Antoine, K., Rishik, V., Preeti, R., &amp; Marcelle, M. (2025). </w:t>
                  </w:r>
                  <w:r w:rsidRPr="001E3217">
                    <w:rPr>
                      <w:i/>
                      <w:iCs/>
                      <w:noProof/>
                      <w:lang w:val="en-US"/>
                    </w:rPr>
                    <w:t>Anion Gap and Non-Anion Gap Metabolic Acidosis.</w:t>
                  </w:r>
                  <w:r w:rsidRPr="001E3217">
                    <w:rPr>
                      <w:noProof/>
                      <w:lang w:val="en-US"/>
                    </w:rPr>
                    <w:t xml:space="preserve"> StatPearls.</w:t>
                  </w:r>
                </w:p>
                <w:p w14:paraId="42DA9E77" w14:textId="77777777" w:rsidR="001E3217" w:rsidRDefault="001E3217" w:rsidP="001E3217">
                  <w:pPr>
                    <w:pStyle w:val="Bibliography"/>
                    <w:ind w:left="720" w:hanging="720"/>
                    <w:rPr>
                      <w:noProof/>
                    </w:rPr>
                  </w:pPr>
                  <w:r w:rsidRPr="001E3217">
                    <w:rPr>
                      <w:noProof/>
                      <w:lang w:val="en-US"/>
                    </w:rPr>
                    <w:t xml:space="preserve">Azova, S. R. (2020). Brain injury in children with diabetic ketoacidosis: Review of the literature and a proposed pathophysiologic pathway for the development of cerebral edema. </w:t>
                  </w:r>
                  <w:r>
                    <w:rPr>
                      <w:i/>
                      <w:iCs/>
                      <w:noProof/>
                    </w:rPr>
                    <w:t>Pediatric Diabetes, 20</w:t>
                  </w:r>
                  <w:r>
                    <w:rPr>
                      <w:noProof/>
                    </w:rPr>
                    <w:t>, 148-160. doi:https://doi.org/10.1111/pedi.13152.</w:t>
                  </w:r>
                </w:p>
                <w:p w14:paraId="57FE23AE" w14:textId="77777777" w:rsidR="001E3217" w:rsidRPr="001E3217" w:rsidRDefault="001E3217" w:rsidP="001E3217">
                  <w:pPr>
                    <w:pStyle w:val="Bibliography"/>
                    <w:ind w:left="720" w:hanging="720"/>
                    <w:rPr>
                      <w:noProof/>
                      <w:lang w:val="en-US"/>
                    </w:rPr>
                  </w:pPr>
                  <w:r>
                    <w:rPr>
                      <w:noProof/>
                    </w:rPr>
                    <w:t xml:space="preserve">Babali, B. &amp;. (2014). </w:t>
                  </w:r>
                  <w:r>
                    <w:rPr>
                      <w:i/>
                      <w:iCs/>
                      <w:noProof/>
                    </w:rPr>
                    <w:t xml:space="preserve">DECOUVERTE D'UN NO UVEL HYBRIDE DANS LA REGION DE TLEMCEN (NW-ALGERIE): ANACAMPTIS × GENNARII NOTHOSUBSP. </w:t>
                  </w:r>
                  <w:r w:rsidRPr="001E3217">
                    <w:rPr>
                      <w:i/>
                      <w:iCs/>
                      <w:noProof/>
                      <w:lang w:val="en-US"/>
                    </w:rPr>
                    <w:t>REBBASII (= A. PAPILIONACEA. .</w:t>
                  </w:r>
                  <w:r w:rsidRPr="001E3217">
                    <w:rPr>
                      <w:noProof/>
                      <w:lang w:val="en-US"/>
                    </w:rPr>
                    <w:t xml:space="preserve"> </w:t>
                  </w:r>
                </w:p>
                <w:p w14:paraId="4BABABFE" w14:textId="77777777" w:rsidR="001E3217" w:rsidRPr="001E3217" w:rsidRDefault="001E3217" w:rsidP="001E3217">
                  <w:pPr>
                    <w:pStyle w:val="Bibliography"/>
                    <w:ind w:left="720" w:hanging="720"/>
                    <w:rPr>
                      <w:noProof/>
                      <w:lang w:val="en-US"/>
                    </w:rPr>
                  </w:pPr>
                  <w:r w:rsidRPr="001E3217">
                    <w:rPr>
                      <w:noProof/>
                      <w:lang w:val="en-US"/>
                    </w:rPr>
                    <w:t xml:space="preserve">Bellomo, R. e. (2025). </w:t>
                  </w:r>
                  <w:r w:rsidRPr="001E3217">
                    <w:rPr>
                      <w:i/>
                      <w:iCs/>
                      <w:noProof/>
                      <w:lang w:val="en-US"/>
                    </w:rPr>
                    <w:t>Liver dysfunction predicts mortality in DKA.</w:t>
                  </w:r>
                  <w:r w:rsidRPr="001E3217">
                    <w:rPr>
                      <w:noProof/>
                      <w:lang w:val="en-US"/>
                    </w:rPr>
                    <w:t xml:space="preserve"> Crit Care. doi:10.1186/s13054-025-04987-3</w:t>
                  </w:r>
                </w:p>
                <w:p w14:paraId="13F20AB0" w14:textId="77777777" w:rsidR="001E3217" w:rsidRPr="001E3217" w:rsidRDefault="001E3217" w:rsidP="001E3217">
                  <w:pPr>
                    <w:pStyle w:val="Bibliography"/>
                    <w:ind w:left="720" w:hanging="720"/>
                    <w:rPr>
                      <w:noProof/>
                      <w:lang w:val="en-US"/>
                    </w:rPr>
                  </w:pPr>
                  <w:r w:rsidRPr="001E3217">
                    <w:rPr>
                      <w:noProof/>
                      <w:lang w:val="en-US"/>
                    </w:rPr>
                    <w:lastRenderedPageBreak/>
                    <w:t xml:space="preserve">Blanchard, F. C. (2019). </w:t>
                  </w:r>
                  <w:r w:rsidRPr="001E3217">
                    <w:rPr>
                      <w:i/>
                      <w:iCs/>
                      <w:noProof/>
                      <w:lang w:val="en-US"/>
                    </w:rPr>
                    <w:t>Early sepsis markers in patients admitted to intensive care unit with moderate-to-severe diabetic ketoacidosis.</w:t>
                  </w:r>
                  <w:r w:rsidRPr="001E3217">
                    <w:rPr>
                      <w:noProof/>
                      <w:lang w:val="en-US"/>
                    </w:rPr>
                    <w:t xml:space="preserve"> Annals of Intensive Care,. doi:https://doi.org/10.1186/s13613-020-00676-6.</w:t>
                  </w:r>
                </w:p>
                <w:p w14:paraId="4790CC7E" w14:textId="77777777" w:rsidR="001E3217" w:rsidRPr="001E3217" w:rsidRDefault="001E3217" w:rsidP="001E3217">
                  <w:pPr>
                    <w:pStyle w:val="Bibliography"/>
                    <w:ind w:left="720" w:hanging="720"/>
                    <w:rPr>
                      <w:noProof/>
                      <w:lang w:val="en-US"/>
                    </w:rPr>
                  </w:pPr>
                  <w:r w:rsidRPr="001E3217">
                    <w:rPr>
                      <w:noProof/>
                      <w:lang w:val="en-US"/>
                    </w:rPr>
                    <w:t xml:space="preserve">Blank SP, B. R. (2020). The importance of hyperosmolarity in diabetic ketoacidosis. </w:t>
                  </w:r>
                  <w:r w:rsidRPr="001E3217">
                    <w:rPr>
                      <w:i/>
                      <w:iCs/>
                      <w:noProof/>
                      <w:lang w:val="en-US"/>
                    </w:rPr>
                    <w:t>Diabet Med</w:t>
                  </w:r>
                  <w:r w:rsidRPr="001E3217">
                    <w:rPr>
                      <w:noProof/>
                      <w:lang w:val="en-US"/>
                    </w:rPr>
                    <w:t>. doi:10.1111/dme.14277</w:t>
                  </w:r>
                </w:p>
                <w:p w14:paraId="1901CD5A" w14:textId="77777777" w:rsidR="001E3217" w:rsidRDefault="001E3217" w:rsidP="001E3217">
                  <w:pPr>
                    <w:pStyle w:val="Bibliography"/>
                    <w:ind w:left="720" w:hanging="720"/>
                    <w:rPr>
                      <w:noProof/>
                    </w:rPr>
                  </w:pPr>
                  <w:r w:rsidRPr="001E3217">
                    <w:rPr>
                      <w:noProof/>
                      <w:lang w:val="en-US"/>
                    </w:rPr>
                    <w:t xml:space="preserve">Blank SP, B. R. (2023). Mind the gap: Measured and Calculated Osmolarity are Not Interchangeable in Diabetic Hyperglycemic Emergencies. </w:t>
                  </w:r>
                  <w:r>
                    <w:rPr>
                      <w:i/>
                      <w:iCs/>
                      <w:noProof/>
                    </w:rPr>
                    <w:t>Exp Clin Endocrinol Diabetes.</w:t>
                  </w:r>
                  <w:r>
                    <w:rPr>
                      <w:noProof/>
                    </w:rPr>
                    <w:t>, pp. 268-273. doi:10.1055/a-2039-0978</w:t>
                  </w:r>
                </w:p>
                <w:p w14:paraId="752FA56C" w14:textId="77777777" w:rsidR="001E3217" w:rsidRPr="001E3217" w:rsidRDefault="001E3217" w:rsidP="001E3217">
                  <w:pPr>
                    <w:pStyle w:val="Bibliography"/>
                    <w:ind w:left="720" w:hanging="720"/>
                    <w:rPr>
                      <w:noProof/>
                      <w:lang w:val="en-US"/>
                    </w:rPr>
                  </w:pPr>
                  <w:r>
                    <w:rPr>
                      <w:noProof/>
                    </w:rPr>
                    <w:t xml:space="preserve">Boles, J.-M. B.-E.-P. (2022). </w:t>
                  </w:r>
                  <w:r w:rsidRPr="001E3217">
                    <w:rPr>
                      <w:i/>
                      <w:iCs/>
                      <w:noProof/>
                      <w:lang w:val="en-US"/>
                    </w:rPr>
                    <w:t>Réanimation.</w:t>
                  </w:r>
                  <w:r w:rsidRPr="001E3217">
                    <w:rPr>
                      <w:noProof/>
                      <w:lang w:val="en-US"/>
                    </w:rPr>
                    <w:t xml:space="preserve"> Elsevier Masson.</w:t>
                  </w:r>
                </w:p>
                <w:p w14:paraId="3FEA151F" w14:textId="77777777" w:rsidR="001E3217" w:rsidRPr="001E3217" w:rsidRDefault="001E3217" w:rsidP="001E3217">
                  <w:pPr>
                    <w:pStyle w:val="Bibliography"/>
                    <w:ind w:left="720" w:hanging="720"/>
                    <w:rPr>
                      <w:noProof/>
                      <w:lang w:val="en-US"/>
                    </w:rPr>
                  </w:pPr>
                  <w:r w:rsidRPr="001E3217">
                    <w:rPr>
                      <w:noProof/>
                      <w:lang w:val="en-US"/>
                    </w:rPr>
                    <w:t xml:space="preserve">Bordone, M. P. (2019). The energetic brain – A review from students to students. </w:t>
                  </w:r>
                  <w:r w:rsidRPr="001E3217">
                    <w:rPr>
                      <w:i/>
                      <w:iCs/>
                      <w:noProof/>
                      <w:lang w:val="en-US"/>
                    </w:rPr>
                    <w:t>Journal of Neurochemistry</w:t>
                  </w:r>
                  <w:r w:rsidRPr="001E3217">
                    <w:rPr>
                      <w:noProof/>
                      <w:lang w:val="en-US"/>
                    </w:rPr>
                    <w:t>, 139-165. doi:https://doi.org/10.1111/JNC.14829</w:t>
                  </w:r>
                </w:p>
                <w:p w14:paraId="12392DE4" w14:textId="77777777" w:rsidR="001E3217" w:rsidRPr="001E3217" w:rsidRDefault="001E3217" w:rsidP="001E3217">
                  <w:pPr>
                    <w:pStyle w:val="Bibliography"/>
                    <w:ind w:left="720" w:hanging="720"/>
                    <w:rPr>
                      <w:noProof/>
                      <w:lang w:val="en-US"/>
                    </w:rPr>
                  </w:pPr>
                  <w:r w:rsidRPr="001E3217">
                    <w:rPr>
                      <w:noProof/>
                      <w:lang w:val="en-US"/>
                    </w:rPr>
                    <w:t xml:space="preserve">Chen, J. Z. (2020). </w:t>
                  </w:r>
                  <w:r w:rsidRPr="001E3217">
                    <w:rPr>
                      <w:i/>
                      <w:iCs/>
                      <w:noProof/>
                      <w:lang w:val="en-US"/>
                    </w:rPr>
                    <w:t>The incidence, risk factors, and long-term outcomes of acute kidney injury in hospitalized diabetic ketoacidosis patients.</w:t>
                  </w:r>
                  <w:r w:rsidRPr="001E3217">
                    <w:rPr>
                      <w:noProof/>
                      <w:lang w:val="en-US"/>
                    </w:rPr>
                    <w:t xml:space="preserve"> MC Nephrology. doi:https://doi.org/10.1186/s12882-020-1709-z.</w:t>
                  </w:r>
                </w:p>
                <w:p w14:paraId="36A23F52" w14:textId="77777777" w:rsidR="001E3217" w:rsidRPr="001E3217" w:rsidRDefault="001E3217" w:rsidP="001E3217">
                  <w:pPr>
                    <w:pStyle w:val="Bibliography"/>
                    <w:ind w:left="720" w:hanging="720"/>
                    <w:rPr>
                      <w:noProof/>
                      <w:lang w:val="en-US"/>
                    </w:rPr>
                  </w:pPr>
                  <w:r w:rsidRPr="001E3217">
                    <w:rPr>
                      <w:noProof/>
                      <w:lang w:val="en-US"/>
                    </w:rPr>
                    <w:t xml:space="preserve">Ching, C. &amp;. (2017). </w:t>
                  </w:r>
                  <w:r w:rsidRPr="001E3217">
                    <w:rPr>
                      <w:i/>
                      <w:iCs/>
                      <w:noProof/>
                      <w:lang w:val="en-US"/>
                    </w:rPr>
                    <w:t>Advanced Cardiac Life Support: 2016 Singapore Guidelines</w:t>
                  </w:r>
                  <w:r w:rsidRPr="001E3217">
                    <w:rPr>
                      <w:noProof/>
                      <w:lang w:val="en-US"/>
                    </w:rPr>
                    <w:t xml:space="preserve"> (Vol. 58). Singapore Medical Journal. doi: 10.11622/smedj.2017064.</w:t>
                  </w:r>
                </w:p>
                <w:p w14:paraId="09640F2C" w14:textId="77777777" w:rsidR="001E3217" w:rsidRPr="001E3217" w:rsidRDefault="001E3217" w:rsidP="001E3217">
                  <w:pPr>
                    <w:pStyle w:val="Bibliography"/>
                    <w:ind w:left="720" w:hanging="720"/>
                    <w:rPr>
                      <w:noProof/>
                      <w:lang w:val="en-US"/>
                    </w:rPr>
                  </w:pPr>
                  <w:r w:rsidRPr="001E3217">
                    <w:rPr>
                      <w:noProof/>
                      <w:lang w:val="en-US"/>
                    </w:rPr>
                    <w:t xml:space="preserve">Cotter-DuPont K, e. a. (2024). </w:t>
                  </w:r>
                  <w:r w:rsidRPr="001E3217">
                    <w:rPr>
                      <w:i/>
                      <w:iCs/>
                      <w:noProof/>
                      <w:lang w:val="en-US"/>
                    </w:rPr>
                    <w:t>Ketones in Cellular Physiology: Metabolic, Signaling Advances.</w:t>
                  </w:r>
                  <w:r w:rsidRPr="001E3217">
                    <w:rPr>
                      <w:noProof/>
                      <w:lang w:val="en-US"/>
                    </w:rPr>
                    <w:t xml:space="preserve"> Am J Physiol Cell Physiol.</w:t>
                  </w:r>
                </w:p>
                <w:p w14:paraId="5EA6D16A" w14:textId="77777777" w:rsidR="001E3217" w:rsidRPr="001E3217" w:rsidRDefault="001E3217" w:rsidP="001E3217">
                  <w:pPr>
                    <w:pStyle w:val="Bibliography"/>
                    <w:ind w:left="720" w:hanging="720"/>
                    <w:rPr>
                      <w:noProof/>
                      <w:lang w:val="en-US"/>
                    </w:rPr>
                  </w:pPr>
                  <w:r w:rsidRPr="001E3217">
                    <w:rPr>
                      <w:noProof/>
                      <w:lang w:val="en-US"/>
                    </w:rPr>
                    <w:t xml:space="preserve">Daina MD, V. C. (2026). Hyperglycemia in Critically Ill Patients: Current Approaches and Management Strategies. </w:t>
                  </w:r>
                  <w:r w:rsidRPr="001E3217">
                    <w:rPr>
                      <w:i/>
                      <w:iCs/>
                      <w:noProof/>
                      <w:lang w:val="en-US"/>
                    </w:rPr>
                    <w:t>In Vivo, 40</w:t>
                  </w:r>
                  <w:r w:rsidRPr="001E3217">
                    <w:rPr>
                      <w:noProof/>
                      <w:lang w:val="en-US"/>
                    </w:rPr>
                    <w:t>, 583-599. doi:10.21873/invivo.14223.</w:t>
                  </w:r>
                </w:p>
                <w:p w14:paraId="40BCC5D2" w14:textId="77777777" w:rsidR="001E3217" w:rsidRPr="001E3217" w:rsidRDefault="001E3217" w:rsidP="001E3217">
                  <w:pPr>
                    <w:pStyle w:val="Bibliography"/>
                    <w:ind w:left="720" w:hanging="720"/>
                    <w:rPr>
                      <w:noProof/>
                      <w:lang w:val="en-US"/>
                    </w:rPr>
                  </w:pPr>
                  <w:r w:rsidRPr="001E3217">
                    <w:rPr>
                      <w:noProof/>
                      <w:lang w:val="en-US"/>
                    </w:rPr>
                    <w:t xml:space="preserve">Daines, S. A. (2021). </w:t>
                  </w:r>
                  <w:r w:rsidRPr="001E3217">
                    <w:rPr>
                      <w:i/>
                      <w:iCs/>
                      <w:noProof/>
                      <w:lang w:val="en-US"/>
                    </w:rPr>
                    <w:t>The Therapeutic Potential and Limitations of Ketones in Traumatic Brain Injury.</w:t>
                  </w:r>
                  <w:r w:rsidRPr="001E3217">
                    <w:rPr>
                      <w:noProof/>
                      <w:lang w:val="en-US"/>
                    </w:rPr>
                    <w:t xml:space="preserve"> Frontiers in Neurology. doi:https://doi.org/10.3389/FNEUR.2021.723148</w:t>
                  </w:r>
                </w:p>
                <w:p w14:paraId="24FDDBDD" w14:textId="77777777" w:rsidR="001E3217" w:rsidRDefault="001E3217" w:rsidP="001E3217">
                  <w:pPr>
                    <w:pStyle w:val="Bibliography"/>
                    <w:ind w:left="720" w:hanging="720"/>
                    <w:rPr>
                      <w:noProof/>
                    </w:rPr>
                  </w:pPr>
                  <w:r w:rsidRPr="001E3217">
                    <w:rPr>
                      <w:noProof/>
                      <w:lang w:val="en-US"/>
                    </w:rPr>
                    <w:t xml:space="preserve">Deulkar P, S. A. (2024). </w:t>
                  </w:r>
                  <w:r w:rsidRPr="001E3217">
                    <w:rPr>
                      <w:i/>
                      <w:iCs/>
                      <w:noProof/>
                      <w:lang w:val="en-US"/>
                    </w:rPr>
                    <w:t>Lactate Monitoring in Intensive Care: A Comprehensive Review of Its Utility and Interpretation.</w:t>
                  </w:r>
                  <w:r w:rsidRPr="001E3217">
                    <w:rPr>
                      <w:noProof/>
                      <w:lang w:val="en-US"/>
                    </w:rPr>
                    <w:t xml:space="preserve"> </w:t>
                  </w:r>
                  <w:r>
                    <w:rPr>
                      <w:noProof/>
                    </w:rPr>
                    <w:t>(Cureus, Éd.) doi:10.7759/cureus.66356.</w:t>
                  </w:r>
                </w:p>
                <w:p w14:paraId="39E86735" w14:textId="77777777" w:rsidR="001E3217" w:rsidRPr="001E3217" w:rsidRDefault="001E3217" w:rsidP="001E3217">
                  <w:pPr>
                    <w:pStyle w:val="Bibliography"/>
                    <w:ind w:left="720" w:hanging="720"/>
                    <w:rPr>
                      <w:noProof/>
                      <w:lang w:val="en-US"/>
                    </w:rPr>
                  </w:pPr>
                  <w:r>
                    <w:rPr>
                      <w:noProof/>
                    </w:rPr>
                    <w:t xml:space="preserve">Dhatariya KK, e. a. (2025). </w:t>
                  </w:r>
                  <w:r>
                    <w:rPr>
                      <w:i/>
                      <w:iCs/>
                      <w:noProof/>
                    </w:rPr>
                    <w:t>Hyperglycemic Crises.</w:t>
                  </w:r>
                  <w:r>
                    <w:rPr>
                      <w:noProof/>
                    </w:rPr>
                    <w:t xml:space="preserve"> </w:t>
                  </w:r>
                  <w:r w:rsidRPr="001E3217">
                    <w:rPr>
                      <w:noProof/>
                      <w:lang w:val="en-US"/>
                    </w:rPr>
                    <w:t>Endotext.</w:t>
                  </w:r>
                </w:p>
                <w:p w14:paraId="23CC1F64" w14:textId="77777777" w:rsidR="001E3217" w:rsidRPr="001E3217" w:rsidRDefault="001E3217" w:rsidP="001E3217">
                  <w:pPr>
                    <w:pStyle w:val="Bibliography"/>
                    <w:ind w:left="720" w:hanging="720"/>
                    <w:rPr>
                      <w:noProof/>
                      <w:lang w:val="en-US"/>
                    </w:rPr>
                  </w:pPr>
                  <w:r w:rsidRPr="001E3217">
                    <w:rPr>
                      <w:noProof/>
                      <w:lang w:val="en-US"/>
                    </w:rPr>
                    <w:t xml:space="preserve">Dhatariya, K. e. (2022). </w:t>
                  </w:r>
                  <w:r w:rsidRPr="001E3217">
                    <w:rPr>
                      <w:i/>
                      <w:iCs/>
                      <w:noProof/>
                      <w:lang w:val="en-US"/>
                    </w:rPr>
                    <w:t>Diabetic Medicine: Joint British Diabetes Societies for Inpatient Care: An updated algorithm for managing diabetic ketoacidosis.</w:t>
                  </w:r>
                  <w:r w:rsidRPr="001E3217">
                    <w:rPr>
                      <w:noProof/>
                      <w:lang w:val="en-US"/>
                    </w:rPr>
                    <w:t xml:space="preserve"> doi:10.1111/dme.14788</w:t>
                  </w:r>
                </w:p>
                <w:p w14:paraId="68DD0F93" w14:textId="77777777" w:rsidR="001E3217" w:rsidRPr="001E3217" w:rsidRDefault="001E3217" w:rsidP="001E3217">
                  <w:pPr>
                    <w:pStyle w:val="Bibliography"/>
                    <w:ind w:left="720" w:hanging="720"/>
                    <w:rPr>
                      <w:noProof/>
                      <w:lang w:val="en-US"/>
                    </w:rPr>
                  </w:pPr>
                  <w:r w:rsidRPr="001E3217">
                    <w:rPr>
                      <w:noProof/>
                      <w:lang w:val="en-US"/>
                    </w:rPr>
                    <w:t xml:space="preserve">Dhatariya, K. G. (2020). </w:t>
                  </w:r>
                  <w:r w:rsidRPr="001E3217">
                    <w:rPr>
                      <w:i/>
                      <w:iCs/>
                      <w:noProof/>
                      <w:lang w:val="en-US"/>
                    </w:rPr>
                    <w:t>Diabetic ketoacidosis.</w:t>
                  </w:r>
                  <w:r w:rsidRPr="001E3217">
                    <w:rPr>
                      <w:noProof/>
                      <w:lang w:val="en-US"/>
                    </w:rPr>
                    <w:t xml:space="preserve"> Nature Reviews Disease Primers. doi:https://doi.org/10.1038/s41572-020-0165-1.</w:t>
                  </w:r>
                </w:p>
                <w:p w14:paraId="03AB68DA" w14:textId="77777777" w:rsidR="001E3217" w:rsidRPr="001E3217" w:rsidRDefault="001E3217" w:rsidP="001E3217">
                  <w:pPr>
                    <w:pStyle w:val="Bibliography"/>
                    <w:ind w:left="720" w:hanging="720"/>
                    <w:rPr>
                      <w:noProof/>
                      <w:lang w:val="en-US"/>
                    </w:rPr>
                  </w:pPr>
                  <w:r w:rsidRPr="001E3217">
                    <w:rPr>
                      <w:noProof/>
                      <w:lang w:val="en-US"/>
                    </w:rPr>
                    <w:t xml:space="preserve">Dienel, G. A. (2019). Brain Glucose Metabolism: Integration of Energetics with Function. </w:t>
                  </w:r>
                  <w:r w:rsidRPr="001E3217">
                    <w:rPr>
                      <w:i/>
                      <w:iCs/>
                      <w:noProof/>
                      <w:lang w:val="en-US"/>
                    </w:rPr>
                    <w:t>Physiol Rev</w:t>
                  </w:r>
                  <w:r w:rsidRPr="001E3217">
                    <w:rPr>
                      <w:noProof/>
                      <w:lang w:val="en-US"/>
                    </w:rPr>
                    <w:t>, 949-1045. doi:10.1152/physrev.00062.2017</w:t>
                  </w:r>
                </w:p>
                <w:p w14:paraId="61E21CA1" w14:textId="77777777" w:rsidR="001E3217" w:rsidRPr="001E3217" w:rsidRDefault="001E3217" w:rsidP="001E3217">
                  <w:pPr>
                    <w:pStyle w:val="Bibliography"/>
                    <w:ind w:left="720" w:hanging="720"/>
                    <w:rPr>
                      <w:noProof/>
                      <w:lang w:val="en-US"/>
                    </w:rPr>
                  </w:pPr>
                  <w:r w:rsidRPr="001E3217">
                    <w:rPr>
                      <w:noProof/>
                      <w:lang w:val="en-US"/>
                    </w:rPr>
                    <w:t xml:space="preserve">Dubey, S. &amp;. (2023). Glycemic Brain Injury. </w:t>
                  </w:r>
                  <w:r w:rsidRPr="001E3217">
                    <w:rPr>
                      <w:i/>
                      <w:iCs/>
                      <w:noProof/>
                      <w:lang w:val="en-US"/>
                    </w:rPr>
                    <w:t>24</w:t>
                  </w:r>
                  <w:r w:rsidRPr="001E3217">
                    <w:rPr>
                      <w:noProof/>
                      <w:lang w:val="en-US"/>
                    </w:rPr>
                    <w:t>, 5-7. Récupéré sur https://www.researchgate.net/publication/376679756_Editorial_Glycemic_Brain_Injury</w:t>
                  </w:r>
                </w:p>
                <w:p w14:paraId="3A71377D" w14:textId="77777777" w:rsidR="001E3217" w:rsidRPr="001E3217" w:rsidRDefault="001E3217" w:rsidP="001E3217">
                  <w:pPr>
                    <w:pStyle w:val="Bibliography"/>
                    <w:ind w:left="720" w:hanging="720"/>
                    <w:rPr>
                      <w:noProof/>
                      <w:lang w:val="en-US"/>
                    </w:rPr>
                  </w:pPr>
                  <w:r w:rsidRPr="001E3217">
                    <w:rPr>
                      <w:noProof/>
                      <w:lang w:val="en-US"/>
                    </w:rPr>
                    <w:t xml:space="preserve">Ebrahimi F, K. A. (2022). </w:t>
                  </w:r>
                  <w:r w:rsidRPr="001E3217">
                    <w:rPr>
                      <w:i/>
                      <w:iCs/>
                      <w:noProof/>
                      <w:lang w:val="en-US"/>
                    </w:rPr>
                    <w:t>Lifetime risk and health-care burden of diabetic ketoacidosis: A population-based study.</w:t>
                  </w:r>
                  <w:r w:rsidRPr="001E3217">
                    <w:rPr>
                      <w:noProof/>
                      <w:lang w:val="en-US"/>
                    </w:rPr>
                    <w:t xml:space="preserve"> Front. Endocrinol. doi:10.3389/fendo.2022.940990</w:t>
                  </w:r>
                </w:p>
                <w:p w14:paraId="246A7893" w14:textId="77777777" w:rsidR="001E3217" w:rsidRPr="001E3217" w:rsidRDefault="001E3217" w:rsidP="001E3217">
                  <w:pPr>
                    <w:pStyle w:val="Bibliography"/>
                    <w:ind w:left="720" w:hanging="720"/>
                    <w:rPr>
                      <w:noProof/>
                      <w:lang w:val="en-US"/>
                    </w:rPr>
                  </w:pPr>
                  <w:r w:rsidRPr="001E3217">
                    <w:rPr>
                      <w:noProof/>
                      <w:lang w:val="en-US"/>
                    </w:rPr>
                    <w:lastRenderedPageBreak/>
                    <w:t xml:space="preserve">Elendu, C. U.-O.-C. (2023). </w:t>
                  </w:r>
                  <w:r w:rsidRPr="001E3217">
                    <w:rPr>
                      <w:i/>
                      <w:iCs/>
                      <w:noProof/>
                      <w:lang w:val="en-US"/>
                    </w:rPr>
                    <w:t>Comprehensive review of diabetic ketoacidosis: an update</w:t>
                  </w:r>
                  <w:r w:rsidRPr="001E3217">
                    <w:rPr>
                      <w:noProof/>
                      <w:lang w:val="en-US"/>
                    </w:rPr>
                    <w:t xml:space="preserve"> (Vol. 85). nnals of Medicine and Surgery. doi:https://doi.org/10.1097/MS9.0000000000000894</w:t>
                  </w:r>
                </w:p>
                <w:p w14:paraId="23A061CA" w14:textId="77777777" w:rsidR="001E3217" w:rsidRPr="001E3217" w:rsidRDefault="001E3217" w:rsidP="001E3217">
                  <w:pPr>
                    <w:pStyle w:val="Bibliography"/>
                    <w:ind w:left="720" w:hanging="720"/>
                    <w:rPr>
                      <w:noProof/>
                      <w:lang w:val="en-US"/>
                    </w:rPr>
                  </w:pPr>
                  <w:r w:rsidRPr="001E3217">
                    <w:rPr>
                      <w:noProof/>
                      <w:lang w:val="en-US"/>
                    </w:rPr>
                    <w:t xml:space="preserve">Fadini, G. e. (2022). </w:t>
                  </w:r>
                  <w:r w:rsidRPr="001E3217">
                    <w:rPr>
                      <w:i/>
                      <w:iCs/>
                      <w:noProof/>
                      <w:lang w:val="en-US"/>
                    </w:rPr>
                    <w:t>Hyperlactatemia predicts mortality in diabetic ketoacidosis.</w:t>
                  </w:r>
                  <w:r w:rsidRPr="001E3217">
                    <w:rPr>
                      <w:noProof/>
                      <w:lang w:val="en-US"/>
                    </w:rPr>
                    <w:t xml:space="preserve"> Diabetes Care. doi: 10.2337/dc22-0456</w:t>
                  </w:r>
                </w:p>
                <w:p w14:paraId="5AD459AC" w14:textId="77777777" w:rsidR="001E3217" w:rsidRDefault="001E3217" w:rsidP="001E3217">
                  <w:pPr>
                    <w:pStyle w:val="Bibliography"/>
                    <w:ind w:left="720" w:hanging="720"/>
                    <w:rPr>
                      <w:noProof/>
                    </w:rPr>
                  </w:pPr>
                  <w:r w:rsidRPr="001E3217">
                    <w:rPr>
                      <w:noProof/>
                      <w:lang w:val="en-US"/>
                    </w:rPr>
                    <w:t xml:space="preserve">Fayfman M, P. F. (2017). </w:t>
                  </w:r>
                  <w:r w:rsidRPr="001E3217">
                    <w:rPr>
                      <w:i/>
                      <w:iCs/>
                      <w:noProof/>
                      <w:lang w:val="en-US"/>
                    </w:rPr>
                    <w:t>Management of Hyperglycemic Crises: Diabetic Ketoacidosis and Hyperglycemic Hyperosmolar State.</w:t>
                  </w:r>
                  <w:r w:rsidRPr="001E3217">
                    <w:rPr>
                      <w:noProof/>
                      <w:lang w:val="en-US"/>
                    </w:rPr>
                    <w:t xml:space="preserve"> </w:t>
                  </w:r>
                  <w:r>
                    <w:rPr>
                      <w:noProof/>
                    </w:rPr>
                    <w:t>Med Clin North Am. doi:10.1016/j.mcna.2016.12.011.</w:t>
                  </w:r>
                </w:p>
                <w:p w14:paraId="1F810CC7" w14:textId="77777777" w:rsidR="001E3217" w:rsidRDefault="001E3217" w:rsidP="001E3217">
                  <w:pPr>
                    <w:pStyle w:val="Bibliography"/>
                    <w:ind w:left="720" w:hanging="720"/>
                    <w:rPr>
                      <w:noProof/>
                    </w:rPr>
                  </w:pPr>
                  <w:r>
                    <w:rPr>
                      <w:noProof/>
                    </w:rPr>
                    <w:t xml:space="preserve">Fève, B. (2008). </w:t>
                  </w:r>
                  <w:r>
                    <w:rPr>
                      <w:i/>
                      <w:iCs/>
                      <w:noProof/>
                    </w:rPr>
                    <w:t>Dysfonction endothéliale au cours du diabète : déséquilibre des voies de signalisation et implication du stress oxydatif,</w:t>
                  </w:r>
                  <w:r>
                    <w:rPr>
                      <w:noProof/>
                    </w:rPr>
                    <w:t xml:space="preserve"> (Vol. 2). Médecine des Maladies Métaboliques,. doi:https://doi.org/10.1016/S1957-2557(08)70626-6.</w:t>
                  </w:r>
                </w:p>
                <w:p w14:paraId="34D3FA59" w14:textId="77777777" w:rsidR="001E3217" w:rsidRPr="001E3217" w:rsidRDefault="001E3217" w:rsidP="001E3217">
                  <w:pPr>
                    <w:pStyle w:val="Bibliography"/>
                    <w:ind w:left="720" w:hanging="720"/>
                    <w:rPr>
                      <w:noProof/>
                      <w:lang w:val="en-US"/>
                    </w:rPr>
                  </w:pPr>
                  <w:r>
                    <w:rPr>
                      <w:noProof/>
                    </w:rPr>
                    <w:t xml:space="preserve">GE, U. (2024). </w:t>
                  </w:r>
                  <w:r w:rsidRPr="001E3217">
                    <w:rPr>
                      <w:i/>
                      <w:iCs/>
                      <w:noProof/>
                      <w:lang w:val="en-US"/>
                    </w:rPr>
                    <w:t>Hyperglycemic Crises in Adult Patients With Diabetes: A Consensus Statement From the American Diabetes Association.</w:t>
                  </w:r>
                  <w:r w:rsidRPr="001E3217">
                    <w:rPr>
                      <w:noProof/>
                      <w:lang w:val="en-US"/>
                    </w:rPr>
                    <w:t xml:space="preserve"> Diabetes Care. doi:10.2337/dc24-0964</w:t>
                  </w:r>
                </w:p>
                <w:p w14:paraId="4337E9D2" w14:textId="77777777" w:rsidR="001E3217" w:rsidRPr="001E3217" w:rsidRDefault="001E3217" w:rsidP="001E3217">
                  <w:pPr>
                    <w:pStyle w:val="Bibliography"/>
                    <w:ind w:left="720" w:hanging="720"/>
                    <w:rPr>
                      <w:noProof/>
                      <w:lang w:val="en-US"/>
                    </w:rPr>
                  </w:pPr>
                  <w:r w:rsidRPr="001E3217">
                    <w:rPr>
                      <w:noProof/>
                      <w:lang w:val="en-US"/>
                    </w:rPr>
                    <w:t xml:space="preserve">Ghada A. Mohamed, M. Z.-E. (2020). </w:t>
                  </w:r>
                  <w:r w:rsidRPr="001E3217">
                    <w:rPr>
                      <w:i/>
                      <w:iCs/>
                      <w:noProof/>
                      <w:lang w:val="en-US"/>
                    </w:rPr>
                    <w:t>Inflammatory cytokine and plasma Creactive protein response to ketoacidosis in.</w:t>
                  </w:r>
                  <w:r w:rsidRPr="001E3217">
                    <w:rPr>
                      <w:noProof/>
                      <w:lang w:val="en-US"/>
                    </w:rPr>
                    <w:t xml:space="preserve"> The Egyptian Journal of Internal Medicine. doi: https://doi.org/10.1186/s43162-020-00011-2</w:t>
                  </w:r>
                </w:p>
                <w:p w14:paraId="5311EDB0" w14:textId="77777777" w:rsidR="001E3217" w:rsidRPr="001E3217" w:rsidRDefault="001E3217" w:rsidP="001E3217">
                  <w:pPr>
                    <w:pStyle w:val="Bibliography"/>
                    <w:ind w:left="720" w:hanging="720"/>
                    <w:rPr>
                      <w:noProof/>
                      <w:lang w:val="en-US"/>
                    </w:rPr>
                  </w:pPr>
                  <w:r w:rsidRPr="001E3217">
                    <w:rPr>
                      <w:noProof/>
                      <w:lang w:val="en-US"/>
                    </w:rPr>
                    <w:t xml:space="preserve">Gosmanov, A. R. (2014). Hyperglycemic Crises: Diabetic Ketoacidosis and Hyperglycemic Hyperosmolar State. </w:t>
                  </w:r>
                  <w:r w:rsidRPr="001E3217">
                    <w:rPr>
                      <w:i/>
                      <w:iCs/>
                      <w:noProof/>
                      <w:lang w:val="en-US"/>
                    </w:rPr>
                    <w:t>endotext-pediatric diabetes, 15</w:t>
                  </w:r>
                  <w:r w:rsidRPr="001E3217">
                    <w:rPr>
                      <w:noProof/>
                      <w:lang w:val="en-US"/>
                    </w:rPr>
                    <w:t>, 154-179. doi:10.1111/pedi.12169</w:t>
                  </w:r>
                </w:p>
                <w:p w14:paraId="71D84EF4" w14:textId="77777777" w:rsidR="001E3217" w:rsidRPr="001E3217" w:rsidRDefault="001E3217" w:rsidP="001E3217">
                  <w:pPr>
                    <w:pStyle w:val="Bibliography"/>
                    <w:ind w:left="720" w:hanging="720"/>
                    <w:rPr>
                      <w:noProof/>
                      <w:lang w:val="en-US"/>
                    </w:rPr>
                  </w:pPr>
                  <w:r w:rsidRPr="001E3217">
                    <w:rPr>
                      <w:noProof/>
                      <w:lang w:val="en-US"/>
                    </w:rPr>
                    <w:t xml:space="preserve">Guannan Chen, J. L. (2025). </w:t>
                  </w:r>
                  <w:r w:rsidRPr="001E3217">
                    <w:rPr>
                      <w:i/>
                      <w:iCs/>
                      <w:noProof/>
                      <w:lang w:val="en-US"/>
                    </w:rPr>
                    <w:t>Mechanisms for Regulatory Effects of Exercise on Metabolic Diseases from the Lactate–Lactylation Perspective</w:t>
                  </w:r>
                  <w:r w:rsidRPr="001E3217">
                    <w:rPr>
                      <w:noProof/>
                      <w:lang w:val="en-US"/>
                    </w:rPr>
                    <w:t xml:space="preserve"> (Vol. 26). Int. J. Mol. Sci. doi: https://doi.org/10.3390/ijms26083469</w:t>
                  </w:r>
                </w:p>
                <w:p w14:paraId="1259D490" w14:textId="77777777" w:rsidR="001E3217" w:rsidRPr="001E3217" w:rsidRDefault="001E3217" w:rsidP="001E3217">
                  <w:pPr>
                    <w:pStyle w:val="Bibliography"/>
                    <w:ind w:left="720" w:hanging="720"/>
                    <w:rPr>
                      <w:noProof/>
                      <w:lang w:val="en-US"/>
                    </w:rPr>
                  </w:pPr>
                  <w:r w:rsidRPr="001E3217">
                    <w:rPr>
                      <w:noProof/>
                      <w:lang w:val="en-US"/>
                    </w:rPr>
                    <w:t xml:space="preserve">Han, Y. R. (2020). </w:t>
                  </w:r>
                  <w:r>
                    <w:rPr>
                      <w:i/>
                      <w:iCs/>
                      <w:noProof/>
                    </w:rPr>
                    <w:t>β</w:t>
                  </w:r>
                  <w:r w:rsidRPr="001E3217">
                    <w:rPr>
                      <w:i/>
                      <w:iCs/>
                      <w:noProof/>
                      <w:lang w:val="en-US"/>
                    </w:rPr>
                    <w:t>-hydroxybutyrate and its metabolic effects on age-associated pathology.</w:t>
                  </w:r>
                  <w:r w:rsidRPr="001E3217">
                    <w:rPr>
                      <w:noProof/>
                      <w:lang w:val="en-US"/>
                    </w:rPr>
                    <w:t xml:space="preserve"> (Vol. 52). Exp Mol Med. doi:https://doi.org/10.1038/s12276-020-0415-z</w:t>
                  </w:r>
                </w:p>
                <w:p w14:paraId="1B3C5DC6" w14:textId="77777777" w:rsidR="001E3217" w:rsidRPr="001E3217" w:rsidRDefault="001E3217" w:rsidP="001E3217">
                  <w:pPr>
                    <w:pStyle w:val="Bibliography"/>
                    <w:ind w:left="720" w:hanging="720"/>
                    <w:rPr>
                      <w:noProof/>
                      <w:lang w:val="en-US"/>
                    </w:rPr>
                  </w:pPr>
                  <w:r w:rsidRPr="001E3217">
                    <w:rPr>
                      <w:noProof/>
                      <w:lang w:val="en-US"/>
                    </w:rPr>
                    <w:t xml:space="preserve">Joshi A, e. a. (2023). </w:t>
                  </w:r>
                  <w:r w:rsidRPr="001E3217">
                    <w:rPr>
                      <w:i/>
                      <w:iCs/>
                      <w:noProof/>
                      <w:lang w:val="en-US"/>
                    </w:rPr>
                    <w:t>Elevated Plasma Levels of Ketone Bodies and Mortality.</w:t>
                  </w:r>
                  <w:r w:rsidRPr="001E3217">
                    <w:rPr>
                      <w:noProof/>
                      <w:lang w:val="en-US"/>
                    </w:rPr>
                    <w:t xml:space="preserve"> J Am Heart Assoc.</w:t>
                  </w:r>
                </w:p>
                <w:p w14:paraId="75E63703" w14:textId="77777777" w:rsidR="001E3217" w:rsidRPr="001E3217" w:rsidRDefault="001E3217" w:rsidP="001E3217">
                  <w:pPr>
                    <w:pStyle w:val="Bibliography"/>
                    <w:ind w:left="720" w:hanging="720"/>
                    <w:rPr>
                      <w:noProof/>
                      <w:lang w:val="en-US"/>
                    </w:rPr>
                  </w:pPr>
                  <w:r w:rsidRPr="001E3217">
                    <w:rPr>
                      <w:noProof/>
                      <w:lang w:val="en-US"/>
                    </w:rPr>
                    <w:t>Karslioglu French E, D. A. (2019). Diabetic ketoacidosis and hyperosmolar hyperglycemic syndrome: review of acute decompensated diabetes in adult patients. doi:10.1136/bmj.l1114</w:t>
                  </w:r>
                </w:p>
                <w:p w14:paraId="1BD9763D" w14:textId="77777777" w:rsidR="001E3217" w:rsidRDefault="001E3217" w:rsidP="001E3217">
                  <w:pPr>
                    <w:pStyle w:val="Bibliography"/>
                    <w:ind w:left="720" w:hanging="720"/>
                    <w:rPr>
                      <w:noProof/>
                    </w:rPr>
                  </w:pPr>
                  <w:r w:rsidRPr="001E3217">
                    <w:rPr>
                      <w:noProof/>
                      <w:lang w:val="en-US"/>
                    </w:rPr>
                    <w:t xml:space="preserve">Kemna RE, K. P. (2025). </w:t>
                  </w:r>
                  <w:r w:rsidRPr="001E3217">
                    <w:rPr>
                      <w:i/>
                      <w:iCs/>
                      <w:noProof/>
                      <w:lang w:val="en-US"/>
                    </w:rPr>
                    <w:t>Acute effects of lactate infusion on metabolism, AD biomarkers, and cognition: The LEAN study.</w:t>
                  </w:r>
                  <w:r w:rsidRPr="001E3217">
                    <w:rPr>
                      <w:noProof/>
                      <w:lang w:val="en-US"/>
                    </w:rPr>
                    <w:t xml:space="preserve"> </w:t>
                  </w:r>
                  <w:r>
                    <w:rPr>
                      <w:noProof/>
                    </w:rPr>
                    <w:t>Alzheimers Dement. doi:10.1002/alz.70984.</w:t>
                  </w:r>
                </w:p>
                <w:p w14:paraId="0099B74A" w14:textId="77777777" w:rsidR="001E3217" w:rsidRDefault="001E3217" w:rsidP="001E3217">
                  <w:pPr>
                    <w:pStyle w:val="Bibliography"/>
                    <w:ind w:left="720" w:hanging="720"/>
                    <w:rPr>
                      <w:noProof/>
                    </w:rPr>
                  </w:pPr>
                  <w:r>
                    <w:rPr>
                      <w:noProof/>
                    </w:rPr>
                    <w:t xml:space="preserve">Ketan Dhatariya, M. P. (2025). </w:t>
                  </w:r>
                  <w:r>
                    <w:rPr>
                      <w:i/>
                      <w:iCs/>
                      <w:noProof/>
                    </w:rPr>
                    <w:t>Hyperglycemic Crises.</w:t>
                  </w:r>
                  <w:r>
                    <w:rPr>
                      <w:noProof/>
                    </w:rPr>
                    <w:t xml:space="preserve"> Récupéré sur https://www.ncbi.nlm.nih.gov/books/NBK279052/</w:t>
                  </w:r>
                </w:p>
                <w:p w14:paraId="24193D0B" w14:textId="77777777" w:rsidR="001E3217" w:rsidRPr="001E3217" w:rsidRDefault="001E3217" w:rsidP="001E3217">
                  <w:pPr>
                    <w:pStyle w:val="Bibliography"/>
                    <w:ind w:left="720" w:hanging="720"/>
                    <w:rPr>
                      <w:noProof/>
                      <w:lang w:val="en-US"/>
                    </w:rPr>
                  </w:pPr>
                  <w:r w:rsidRPr="001E3217">
                    <w:rPr>
                      <w:noProof/>
                      <w:lang w:val="en-US"/>
                    </w:rPr>
                    <w:t xml:space="preserve">Kilic, O. I., &amp; Akman, T. S. (2025). </w:t>
                  </w:r>
                  <w:r w:rsidRPr="001E3217">
                    <w:rPr>
                      <w:i/>
                      <w:iCs/>
                      <w:noProof/>
                      <w:lang w:val="en-US"/>
                    </w:rPr>
                    <w:t>Prognostic Utility of Lactate, Standard Base Excess, and Alactic Base Excess in Sepsis: A Retrospective Analysis of Critical Care Biomarkers.</w:t>
                  </w:r>
                  <w:r w:rsidRPr="001E3217">
                    <w:rPr>
                      <w:noProof/>
                      <w:lang w:val="en-US"/>
                    </w:rPr>
                    <w:t xml:space="preserve"> doi:https://doi.org/10.1101/2025.07.29.25332405</w:t>
                  </w:r>
                </w:p>
                <w:p w14:paraId="77479A72" w14:textId="77777777" w:rsidR="001E3217" w:rsidRPr="001E3217" w:rsidRDefault="001E3217" w:rsidP="001E3217">
                  <w:pPr>
                    <w:pStyle w:val="Bibliography"/>
                    <w:ind w:left="720" w:hanging="720"/>
                    <w:rPr>
                      <w:noProof/>
                      <w:lang w:val="en-US"/>
                    </w:rPr>
                  </w:pPr>
                  <w:r w:rsidRPr="001E3217">
                    <w:rPr>
                      <w:noProof/>
                      <w:lang w:val="en-US"/>
                    </w:rPr>
                    <w:t xml:space="preserve">Klingele M, P. S. (2024). </w:t>
                  </w:r>
                  <w:r w:rsidRPr="001E3217">
                    <w:rPr>
                      <w:i/>
                      <w:iCs/>
                      <w:noProof/>
                      <w:lang w:val="en-US"/>
                    </w:rPr>
                    <w:t>Hemodynamic and hemostatic abnormalities in severe diabetic ketoacidosis: prospective cohort study.</w:t>
                  </w:r>
                  <w:r w:rsidRPr="001E3217">
                    <w:rPr>
                      <w:noProof/>
                      <w:lang w:val="en-US"/>
                    </w:rPr>
                    <w:t xml:space="preserve"> Ann Intensive Care. doi:10.1186/s13613-024-01234-5</w:t>
                  </w:r>
                </w:p>
                <w:p w14:paraId="10FD0FC0" w14:textId="77777777" w:rsidR="001E3217" w:rsidRPr="001E3217" w:rsidRDefault="001E3217" w:rsidP="001E3217">
                  <w:pPr>
                    <w:pStyle w:val="Bibliography"/>
                    <w:ind w:left="720" w:hanging="720"/>
                    <w:rPr>
                      <w:noProof/>
                      <w:lang w:val="en-US"/>
                    </w:rPr>
                  </w:pPr>
                  <w:r w:rsidRPr="001E3217">
                    <w:rPr>
                      <w:noProof/>
                      <w:lang w:val="en-US"/>
                    </w:rPr>
                    <w:t xml:space="preserve">Kondziella, D. A. (2023). Understanding, detecting, and stimulating consciousness recovery in the ICU. </w:t>
                  </w:r>
                  <w:r w:rsidRPr="001E3217">
                    <w:rPr>
                      <w:i/>
                      <w:iCs/>
                      <w:noProof/>
                      <w:lang w:val="en-US"/>
                    </w:rPr>
                    <w:t>Acta Neurochirurgica, 165</w:t>
                  </w:r>
                  <w:r w:rsidRPr="001E3217">
                    <w:rPr>
                      <w:noProof/>
                      <w:lang w:val="en-US"/>
                    </w:rPr>
                    <w:t>, 809-828. doi:https://doi.org/10.1007/s00701-022-05378-5</w:t>
                  </w:r>
                </w:p>
                <w:p w14:paraId="5751EC13" w14:textId="77777777" w:rsidR="001E3217" w:rsidRPr="001E3217" w:rsidRDefault="001E3217" w:rsidP="001E3217">
                  <w:pPr>
                    <w:pStyle w:val="Bibliography"/>
                    <w:ind w:left="720" w:hanging="720"/>
                    <w:rPr>
                      <w:noProof/>
                      <w:lang w:val="en-US"/>
                    </w:rPr>
                  </w:pPr>
                  <w:r w:rsidRPr="001E3217">
                    <w:rPr>
                      <w:noProof/>
                      <w:lang w:val="en-US"/>
                    </w:rPr>
                    <w:lastRenderedPageBreak/>
                    <w:t xml:space="preserve">Krausova, V. N. (2024). </w:t>
                  </w:r>
                  <w:r w:rsidRPr="001E3217">
                    <w:rPr>
                      <w:i/>
                      <w:iCs/>
                      <w:noProof/>
                      <w:lang w:val="en-US"/>
                    </w:rPr>
                    <w:t>Changes of Sublingual Microcirculation during the Treatment of Severe Diabetic Ketoacidosis.</w:t>
                  </w:r>
                  <w:r w:rsidRPr="001E3217">
                    <w:rPr>
                      <w:noProof/>
                      <w:lang w:val="en-US"/>
                    </w:rPr>
                    <w:t xml:space="preserve"> Journal of Clinical Medicine. doi:https://doi.org/10.3390/jcm13061655.</w:t>
                  </w:r>
                </w:p>
                <w:p w14:paraId="7CDA7EFF" w14:textId="77777777" w:rsidR="001E3217" w:rsidRPr="001E3217" w:rsidRDefault="001E3217" w:rsidP="001E3217">
                  <w:pPr>
                    <w:pStyle w:val="Bibliography"/>
                    <w:ind w:left="720" w:hanging="720"/>
                    <w:rPr>
                      <w:noProof/>
                      <w:lang w:val="en-US"/>
                    </w:rPr>
                  </w:pPr>
                  <w:r w:rsidRPr="001E3217">
                    <w:rPr>
                      <w:noProof/>
                      <w:lang w:val="en-US"/>
                    </w:rPr>
                    <w:t xml:space="preserve">Kraut JA, M. N. (2024). </w:t>
                  </w:r>
                  <w:r w:rsidRPr="001E3217">
                    <w:rPr>
                      <w:i/>
                      <w:iCs/>
                      <w:noProof/>
                      <w:lang w:val="en-US"/>
                    </w:rPr>
                    <w:t>Lactic acidosis and diabetic ketoacidosis: intersections and distinctions.</w:t>
                  </w:r>
                  <w:r w:rsidRPr="001E3217">
                    <w:rPr>
                      <w:noProof/>
                      <w:lang w:val="en-US"/>
                    </w:rPr>
                    <w:t xml:space="preserve"> Kidney Int. doi:10.1016/j.kint.2023.11.023</w:t>
                  </w:r>
                </w:p>
                <w:p w14:paraId="654704A1" w14:textId="77777777" w:rsidR="001E3217" w:rsidRPr="001E3217" w:rsidRDefault="001E3217" w:rsidP="001E3217">
                  <w:pPr>
                    <w:pStyle w:val="Bibliography"/>
                    <w:ind w:left="720" w:hanging="720"/>
                    <w:rPr>
                      <w:noProof/>
                      <w:lang w:val="en-US"/>
                    </w:rPr>
                  </w:pPr>
                  <w:r w:rsidRPr="001E3217">
                    <w:rPr>
                      <w:noProof/>
                      <w:lang w:val="en-US"/>
                    </w:rPr>
                    <w:t xml:space="preserve">Kvetny J, W. L. (2010). </w:t>
                  </w:r>
                  <w:r w:rsidRPr="001E3217">
                    <w:rPr>
                      <w:i/>
                      <w:iCs/>
                      <w:noProof/>
                      <w:lang w:val="en-US"/>
                    </w:rPr>
                    <w:t>Subclinical hypothyroidism affects mitochondrial function.</w:t>
                  </w:r>
                  <w:r w:rsidRPr="001E3217">
                    <w:rPr>
                      <w:noProof/>
                      <w:lang w:val="en-US"/>
                    </w:rPr>
                    <w:t xml:space="preserve"> Horm Metab Res. doi:10.1055/s-0030-1248261</w:t>
                  </w:r>
                </w:p>
                <w:p w14:paraId="70898866" w14:textId="77777777" w:rsidR="001E3217" w:rsidRPr="001E3217" w:rsidRDefault="001E3217" w:rsidP="001E3217">
                  <w:pPr>
                    <w:pStyle w:val="Bibliography"/>
                    <w:ind w:left="720" w:hanging="720"/>
                    <w:rPr>
                      <w:noProof/>
                      <w:lang w:val="en-US"/>
                    </w:rPr>
                  </w:pPr>
                  <w:r w:rsidRPr="001E3217">
                    <w:rPr>
                      <w:noProof/>
                      <w:lang w:val="en-US"/>
                    </w:rPr>
                    <w:t xml:space="preserve">Li, Y. L. (2023). </w:t>
                  </w:r>
                  <w:r w:rsidRPr="001E3217">
                    <w:rPr>
                      <w:i/>
                      <w:iCs/>
                      <w:noProof/>
                      <w:lang w:val="en-US"/>
                    </w:rPr>
                    <w:t>Diabetic vascular diseases: molecular mechanisms and therapeutic strategies.</w:t>
                  </w:r>
                  <w:r w:rsidRPr="001E3217">
                    <w:rPr>
                      <w:noProof/>
                      <w:lang w:val="en-US"/>
                    </w:rPr>
                    <w:t xml:space="preserve"> Sig Transduct Target Ther. doi: https://doi.org/10.1038/s41392-023-01400-z</w:t>
                  </w:r>
                </w:p>
                <w:p w14:paraId="6742B12E" w14:textId="77777777" w:rsidR="001E3217" w:rsidRPr="001E3217" w:rsidRDefault="001E3217" w:rsidP="001E3217">
                  <w:pPr>
                    <w:pStyle w:val="Bibliography"/>
                    <w:ind w:left="720" w:hanging="720"/>
                    <w:rPr>
                      <w:noProof/>
                      <w:lang w:val="en-US"/>
                    </w:rPr>
                  </w:pPr>
                  <w:r w:rsidRPr="001E3217">
                    <w:rPr>
                      <w:noProof/>
                      <w:lang w:val="en-US"/>
                    </w:rPr>
                    <w:t xml:space="preserve">Liu, D. Y.-Y. (2023). </w:t>
                  </w:r>
                  <w:r w:rsidRPr="001E3217">
                    <w:rPr>
                      <w:i/>
                      <w:iCs/>
                      <w:noProof/>
                      <w:lang w:val="en-US"/>
                    </w:rPr>
                    <w:t>Serum lactate monitoring may help to predict neurological function impairment caused by acute metabolism crisis.</w:t>
                  </w:r>
                  <w:r w:rsidRPr="001E3217">
                    <w:rPr>
                      <w:noProof/>
                      <w:lang w:val="en-US"/>
                    </w:rPr>
                    <w:t xml:space="preserve"> Dental Science Reports. doi:https://doi.org/10.1038/s41598-023-29506-y</w:t>
                  </w:r>
                </w:p>
                <w:p w14:paraId="049422EE" w14:textId="77777777" w:rsidR="001E3217" w:rsidRPr="001E3217" w:rsidRDefault="001E3217" w:rsidP="001E3217">
                  <w:pPr>
                    <w:pStyle w:val="Bibliography"/>
                    <w:ind w:left="720" w:hanging="720"/>
                    <w:rPr>
                      <w:noProof/>
                      <w:lang w:val="en-US"/>
                    </w:rPr>
                  </w:pPr>
                  <w:r w:rsidRPr="001E3217">
                    <w:rPr>
                      <w:noProof/>
                      <w:lang w:val="en-US"/>
                    </w:rPr>
                    <w:t xml:space="preserve">Long B, W. G. (2020). Evaluation and Management of the Critically Ill Adult With Diabetic Ketoacidosis. </w:t>
                  </w:r>
                  <w:r w:rsidRPr="001E3217">
                    <w:rPr>
                      <w:i/>
                      <w:iCs/>
                      <w:noProof/>
                      <w:lang w:val="en-US"/>
                    </w:rPr>
                    <w:t>J Emerg Med.</w:t>
                  </w:r>
                  <w:r w:rsidRPr="001E3217">
                    <w:rPr>
                      <w:noProof/>
                      <w:lang w:val="en-US"/>
                    </w:rPr>
                    <w:t>, pp. 371-383. doi:10.1016/j.jemermed.2020.06.059.</w:t>
                  </w:r>
                </w:p>
                <w:p w14:paraId="420CC98C" w14:textId="77777777" w:rsidR="001E3217" w:rsidRPr="001E3217" w:rsidRDefault="001E3217" w:rsidP="001E3217">
                  <w:pPr>
                    <w:pStyle w:val="Bibliography"/>
                    <w:ind w:left="720" w:hanging="720"/>
                    <w:rPr>
                      <w:noProof/>
                      <w:lang w:val="en-US"/>
                    </w:rPr>
                  </w:pPr>
                  <w:r w:rsidRPr="001E3217">
                    <w:rPr>
                      <w:noProof/>
                      <w:lang w:val="en-US"/>
                    </w:rPr>
                    <w:t xml:space="preserve">Martinez, J. e. (2026). </w:t>
                  </w:r>
                  <w:r w:rsidRPr="001E3217">
                    <w:rPr>
                      <w:i/>
                      <w:iCs/>
                      <w:noProof/>
                      <w:lang w:val="en-US"/>
                    </w:rPr>
                    <w:t>Cerebral edema and metabolic coma in diabetic ketoacidosis: prospective cohort study.</w:t>
                  </w:r>
                  <w:r w:rsidRPr="001E3217">
                    <w:rPr>
                      <w:noProof/>
                      <w:lang w:val="en-US"/>
                    </w:rPr>
                    <w:t xml:space="preserve"> Neurology. doi:10.1212/WNL.0000000000209876</w:t>
                  </w:r>
                </w:p>
                <w:p w14:paraId="7F9CC577" w14:textId="77777777" w:rsidR="001E3217" w:rsidRDefault="001E3217" w:rsidP="001E3217">
                  <w:pPr>
                    <w:pStyle w:val="Bibliography"/>
                    <w:ind w:left="720" w:hanging="720"/>
                    <w:rPr>
                      <w:noProof/>
                      <w:lang w:val="en-US"/>
                    </w:rPr>
                  </w:pPr>
                  <w:r>
                    <w:rPr>
                      <w:noProof/>
                      <w:lang w:val="en-US"/>
                    </w:rPr>
                    <w:t xml:space="preserve">Mathur, R. B. (2021). Coma, Disorders of Consciousness, and Brain Death. </w:t>
                  </w:r>
                  <w:r>
                    <w:rPr>
                      <w:i/>
                      <w:iCs/>
                      <w:noProof/>
                      <w:lang w:val="en-US"/>
                    </w:rPr>
                    <w:t>Springer, Cham.</w:t>
                  </w:r>
                  <w:r>
                    <w:rPr>
                      <w:noProof/>
                      <w:lang w:val="en-US"/>
                    </w:rPr>
                    <w:t>, 345-372. doi:https://doi.org/10.1007/978-3-030-75778-6_17</w:t>
                  </w:r>
                </w:p>
                <w:p w14:paraId="3C505C9E" w14:textId="77777777" w:rsidR="001E3217" w:rsidRPr="001E3217" w:rsidRDefault="001E3217" w:rsidP="001E3217">
                  <w:pPr>
                    <w:pStyle w:val="Bibliography"/>
                    <w:ind w:left="720" w:hanging="720"/>
                    <w:rPr>
                      <w:noProof/>
                      <w:lang w:val="en-US"/>
                    </w:rPr>
                  </w:pPr>
                  <w:r w:rsidRPr="001E3217">
                    <w:rPr>
                      <w:noProof/>
                      <w:lang w:val="en-US"/>
                    </w:rPr>
                    <w:t xml:space="preserve">Mrozikiewicz-Rakowska, B. e. (2023). </w:t>
                  </w:r>
                  <w:r w:rsidRPr="001E3217">
                    <w:rPr>
                      <w:i/>
                      <w:iCs/>
                      <w:noProof/>
                      <w:lang w:val="en-US"/>
                    </w:rPr>
                    <w:t>Acute kidney injury in DKA: biomarkers and outcomes.</w:t>
                  </w:r>
                  <w:r w:rsidRPr="001E3217">
                    <w:rPr>
                      <w:noProof/>
                      <w:lang w:val="en-US"/>
                    </w:rPr>
                    <w:t xml:space="preserve"> J Clin Endocrinol Metab. doi:DOI: 10.1210/clinem/dgad012</w:t>
                  </w:r>
                </w:p>
                <w:p w14:paraId="71FDF2EF" w14:textId="77777777" w:rsidR="001E3217" w:rsidRPr="001E3217" w:rsidRDefault="001E3217" w:rsidP="001E3217">
                  <w:pPr>
                    <w:pStyle w:val="Bibliography"/>
                    <w:ind w:left="720" w:hanging="720"/>
                    <w:rPr>
                      <w:noProof/>
                      <w:lang w:val="en-US"/>
                    </w:rPr>
                  </w:pPr>
                  <w:r w:rsidRPr="001E3217">
                    <w:rPr>
                      <w:noProof/>
                      <w:lang w:val="en-US"/>
                    </w:rPr>
                    <w:t xml:space="preserve">Newman JC, V. E. (2024). </w:t>
                  </w:r>
                  <w:r w:rsidRPr="001E3217">
                    <w:rPr>
                      <w:i/>
                      <w:iCs/>
                      <w:noProof/>
                      <w:lang w:val="en-US"/>
                    </w:rPr>
                    <w:t>Ketones in the Life Sciences – Biochemistry, Metabolism.</w:t>
                  </w:r>
                  <w:r w:rsidRPr="001E3217">
                    <w:rPr>
                      <w:noProof/>
                      <w:lang w:val="en-US"/>
                    </w:rPr>
                    <w:t xml:space="preserve"> IntechOpen.</w:t>
                  </w:r>
                </w:p>
                <w:p w14:paraId="365DBD5A" w14:textId="77777777" w:rsidR="001E3217" w:rsidRDefault="001E3217" w:rsidP="001E3217">
                  <w:pPr>
                    <w:pStyle w:val="Bibliography"/>
                    <w:ind w:left="720" w:hanging="720"/>
                    <w:rPr>
                      <w:noProof/>
                    </w:rPr>
                  </w:pPr>
                  <w:r w:rsidRPr="001E3217">
                    <w:rPr>
                      <w:noProof/>
                      <w:lang w:val="en-US"/>
                    </w:rPr>
                    <w:t xml:space="preserve">Odeh R, G. L. (2023). </w:t>
                  </w:r>
                  <w:r w:rsidRPr="001E3217">
                    <w:rPr>
                      <w:i/>
                      <w:iCs/>
                      <w:noProof/>
                      <w:lang w:val="en-US"/>
                    </w:rPr>
                    <w:t>Frequency, Clinical Characteristics and Predictors of Ketoacidosis at Diagnosis of Type One Diabetes Mellitus in Children and Adolescents from Jordan.</w:t>
                  </w:r>
                  <w:r w:rsidRPr="001E3217">
                    <w:rPr>
                      <w:noProof/>
                      <w:lang w:val="en-US"/>
                    </w:rPr>
                    <w:t xml:space="preserve"> </w:t>
                  </w:r>
                  <w:r>
                    <w:rPr>
                      <w:noProof/>
                    </w:rPr>
                    <w:t>J Clin Res Pediatr Endocrinol. . doi: 10.4274/jcrpe.galenos.2022.2022-5-8.</w:t>
                  </w:r>
                </w:p>
                <w:p w14:paraId="4535E95B" w14:textId="77777777" w:rsidR="001E3217" w:rsidRPr="001E3217" w:rsidRDefault="001E3217" w:rsidP="001E3217">
                  <w:pPr>
                    <w:pStyle w:val="Bibliography"/>
                    <w:ind w:left="720" w:hanging="720"/>
                    <w:rPr>
                      <w:noProof/>
                      <w:lang w:val="en-US"/>
                    </w:rPr>
                  </w:pPr>
                  <w:r>
                    <w:rPr>
                      <w:noProof/>
                    </w:rPr>
                    <w:t xml:space="preserve">Ooi E, N. K. (2021). </w:t>
                  </w:r>
                  <w:r w:rsidRPr="001E3217">
                    <w:rPr>
                      <w:i/>
                      <w:iCs/>
                      <w:noProof/>
                      <w:lang w:val="en-US"/>
                    </w:rPr>
                    <w:t>Clinical and biochemical profile of 786 sequential episodes of diabetic ketoacidosis in adults with type 1 and type 2 diabetes mellitus.</w:t>
                  </w:r>
                  <w:r w:rsidRPr="001E3217">
                    <w:rPr>
                      <w:noProof/>
                      <w:lang w:val="en-US"/>
                    </w:rPr>
                    <w:t xml:space="preserve"> BMJ Open Diabetes Res Care. doi:10.1136/bmjdrc-2021-002451</w:t>
                  </w:r>
                </w:p>
                <w:p w14:paraId="404622B9" w14:textId="77777777" w:rsidR="001E3217" w:rsidRPr="001E3217" w:rsidRDefault="001E3217" w:rsidP="001E3217">
                  <w:pPr>
                    <w:pStyle w:val="Bibliography"/>
                    <w:ind w:left="720" w:hanging="720"/>
                    <w:rPr>
                      <w:noProof/>
                      <w:lang w:val="en-US"/>
                    </w:rPr>
                  </w:pPr>
                  <w:r w:rsidRPr="001E3217">
                    <w:rPr>
                      <w:noProof/>
                      <w:lang w:val="en-US"/>
                    </w:rPr>
                    <w:t xml:space="preserve">Ooi E, N. K. (21). </w:t>
                  </w:r>
                  <w:r w:rsidRPr="001E3217">
                    <w:rPr>
                      <w:i/>
                      <w:iCs/>
                      <w:noProof/>
                      <w:lang w:val="en-US"/>
                    </w:rPr>
                    <w:t>Clinical and biochemical profile of 786 sequential episodes of diabetic ketoacidosis in adults with type 1 and type 2 diabetes mellitus.</w:t>
                  </w:r>
                  <w:r w:rsidRPr="001E3217">
                    <w:rPr>
                      <w:noProof/>
                      <w:lang w:val="en-US"/>
                    </w:rPr>
                    <w:t xml:space="preserve"> BMJ Open Diabetes Res Care. doi:10.1136/bmjdrc-2021-002451</w:t>
                  </w:r>
                </w:p>
                <w:p w14:paraId="5DAEE4CD" w14:textId="77777777" w:rsidR="001E3217" w:rsidRPr="001E3217" w:rsidRDefault="001E3217" w:rsidP="001E3217">
                  <w:pPr>
                    <w:pStyle w:val="Bibliography"/>
                    <w:ind w:left="720" w:hanging="720"/>
                    <w:rPr>
                      <w:noProof/>
                      <w:lang w:val="en-US"/>
                    </w:rPr>
                  </w:pPr>
                  <w:r w:rsidRPr="001E3217">
                    <w:rPr>
                      <w:noProof/>
                      <w:lang w:val="en-US"/>
                    </w:rPr>
                    <w:t xml:space="preserve">Park, M. L. (2025). </w:t>
                  </w:r>
                  <w:r w:rsidRPr="001E3217">
                    <w:rPr>
                      <w:i/>
                      <w:iCs/>
                      <w:noProof/>
                      <w:lang w:val="en-US"/>
                    </w:rPr>
                    <w:t>Suppressing astrocytic GABA transaminase enhances tonic inhibition and weakens hippocampal spatial memory</w:t>
                  </w:r>
                  <w:r w:rsidRPr="001E3217">
                    <w:rPr>
                      <w:noProof/>
                      <w:lang w:val="en-US"/>
                    </w:rPr>
                    <w:t xml:space="preserve"> (Vol. 57). Exp Mol Med. doi:https://doi.org/10.1038/s12276-025-01398-0</w:t>
                  </w:r>
                </w:p>
                <w:p w14:paraId="198C8542" w14:textId="77777777" w:rsidR="001E3217" w:rsidRPr="001E3217" w:rsidRDefault="001E3217" w:rsidP="001E3217">
                  <w:pPr>
                    <w:pStyle w:val="Bibliography"/>
                    <w:ind w:left="720" w:hanging="720"/>
                    <w:rPr>
                      <w:noProof/>
                      <w:lang w:val="en-US"/>
                    </w:rPr>
                  </w:pPr>
                  <w:r w:rsidRPr="001E3217">
                    <w:rPr>
                      <w:noProof/>
                      <w:lang w:val="en-US"/>
                    </w:rPr>
                    <w:t xml:space="preserve">Pasquale, M. e. (2024). </w:t>
                  </w:r>
                  <w:r w:rsidRPr="001E3217">
                    <w:rPr>
                      <w:i/>
                      <w:iCs/>
                      <w:noProof/>
                      <w:lang w:val="en-US"/>
                    </w:rPr>
                    <w:t>Hyperosmolar hyperglycemic state and diabetic ketoacidosis in adults with diabetes.</w:t>
                  </w:r>
                  <w:r w:rsidRPr="001E3217">
                    <w:rPr>
                      <w:noProof/>
                      <w:lang w:val="en-US"/>
                    </w:rPr>
                    <w:t xml:space="preserve"> Lancet Diabetes Endocrinol. doi: 10.1016/S2213-8587(23)00394-</w:t>
                  </w:r>
                </w:p>
                <w:p w14:paraId="3EE10753" w14:textId="77777777" w:rsidR="001E3217" w:rsidRPr="001E3217" w:rsidRDefault="001E3217" w:rsidP="001E3217">
                  <w:pPr>
                    <w:pStyle w:val="Bibliography"/>
                    <w:ind w:left="720" w:hanging="720"/>
                    <w:rPr>
                      <w:noProof/>
                      <w:lang w:val="en-US"/>
                    </w:rPr>
                  </w:pPr>
                  <w:r w:rsidRPr="001E3217">
                    <w:rPr>
                      <w:noProof/>
                      <w:lang w:val="en-US"/>
                    </w:rPr>
                    <w:lastRenderedPageBreak/>
                    <w:t xml:space="preserve">Patel, R. e. (2023). </w:t>
                  </w:r>
                  <w:r w:rsidRPr="001E3217">
                    <w:rPr>
                      <w:i/>
                      <w:iCs/>
                      <w:noProof/>
                      <w:lang w:val="en-US"/>
                    </w:rPr>
                    <w:t>Respiratory patterns predict DKA severity.</w:t>
                  </w:r>
                  <w:r w:rsidRPr="001E3217">
                    <w:rPr>
                      <w:noProof/>
                      <w:lang w:val="en-US"/>
                    </w:rPr>
                    <w:t xml:space="preserve"> Chest. doi:10.1016/j.chest.2022.11.023</w:t>
                  </w:r>
                </w:p>
                <w:p w14:paraId="59E2C687" w14:textId="77777777" w:rsidR="001E3217" w:rsidRDefault="001E3217" w:rsidP="001E3217">
                  <w:pPr>
                    <w:pStyle w:val="Bibliography"/>
                    <w:ind w:left="720" w:hanging="720"/>
                    <w:rPr>
                      <w:noProof/>
                    </w:rPr>
                  </w:pPr>
                  <w:r w:rsidRPr="001E3217">
                    <w:rPr>
                      <w:noProof/>
                      <w:lang w:val="en-US"/>
                    </w:rPr>
                    <w:t xml:space="preserve">Puchalska P, C. P. (2021). </w:t>
                  </w:r>
                  <w:r w:rsidRPr="001E3217">
                    <w:rPr>
                      <w:i/>
                      <w:iCs/>
                      <w:noProof/>
                      <w:lang w:val="en-US"/>
                    </w:rPr>
                    <w:t>Metabolic and signaling roles of ketone bodies. .</w:t>
                  </w:r>
                  <w:r w:rsidRPr="001E3217">
                    <w:rPr>
                      <w:noProof/>
                      <w:lang w:val="en-US"/>
                    </w:rPr>
                    <w:t xml:space="preserve"> </w:t>
                  </w:r>
                  <w:r>
                    <w:rPr>
                      <w:noProof/>
                    </w:rPr>
                    <w:t>Nat Rev Endocrinol.</w:t>
                  </w:r>
                </w:p>
                <w:p w14:paraId="6BE71EE7" w14:textId="77777777" w:rsidR="001E3217" w:rsidRDefault="001E3217" w:rsidP="001E3217">
                  <w:pPr>
                    <w:pStyle w:val="Bibliography"/>
                    <w:ind w:left="720" w:hanging="720"/>
                    <w:rPr>
                      <w:noProof/>
                    </w:rPr>
                  </w:pPr>
                  <w:r>
                    <w:rPr>
                      <w:noProof/>
                    </w:rPr>
                    <w:t xml:space="preserve">Romane Bertrand, F. A.-M. (2022). </w:t>
                  </w:r>
                  <w:r>
                    <w:rPr>
                      <w:i/>
                      <w:iCs/>
                      <w:noProof/>
                    </w:rPr>
                    <w:t>Corps cétoniques : définitions, synthèse et rôles dans le métabolisme énergétique,</w:t>
                  </w:r>
                  <w:r>
                    <w:rPr>
                      <w:noProof/>
                    </w:rPr>
                    <w:t xml:space="preserve"> (Vol. 16). Médecine des Maladies Métaboliques,. doi:https://doi.org/10.1016/j.mmm.2022.08.010.</w:t>
                  </w:r>
                </w:p>
                <w:p w14:paraId="1C997968" w14:textId="77777777" w:rsidR="001E3217" w:rsidRPr="001E3217" w:rsidRDefault="001E3217" w:rsidP="001E3217">
                  <w:pPr>
                    <w:pStyle w:val="Bibliography"/>
                    <w:ind w:left="720" w:hanging="720"/>
                    <w:rPr>
                      <w:noProof/>
                      <w:lang w:val="en-US"/>
                    </w:rPr>
                  </w:pPr>
                  <w:r w:rsidRPr="001E3217">
                    <w:rPr>
                      <w:noProof/>
                      <w:lang w:val="en-US"/>
                    </w:rPr>
                    <w:t xml:space="preserve">Self WH, E. C. (2020). Clinical Effects of Balanced Crystalloids vs Saline in Adults With Diabetic Ketoacidosis: A Subgroup Analysis of Cluster Randomized Clinical Trials. </w:t>
                  </w:r>
                  <w:r w:rsidRPr="001E3217">
                    <w:rPr>
                      <w:i/>
                      <w:iCs/>
                      <w:noProof/>
                      <w:lang w:val="en-US"/>
                    </w:rPr>
                    <w:t>JAMA Netw Open.</w:t>
                  </w:r>
                  <w:r w:rsidRPr="001E3217">
                    <w:rPr>
                      <w:noProof/>
                      <w:lang w:val="en-US"/>
                    </w:rPr>
                    <w:t xml:space="preserve"> doi:10.1001/jamanetworkopen.2020.24596.</w:t>
                  </w:r>
                </w:p>
                <w:p w14:paraId="46D35D6D" w14:textId="77777777" w:rsidR="001E3217" w:rsidRPr="001E3217" w:rsidRDefault="001E3217" w:rsidP="001E3217">
                  <w:pPr>
                    <w:pStyle w:val="Bibliography"/>
                    <w:ind w:left="720" w:hanging="720"/>
                    <w:rPr>
                      <w:noProof/>
                      <w:lang w:val="en-US"/>
                    </w:rPr>
                  </w:pPr>
                  <w:r w:rsidRPr="001E3217">
                    <w:rPr>
                      <w:noProof/>
                      <w:lang w:val="en-US"/>
                    </w:rPr>
                    <w:t xml:space="preserve">Sezer, M. K. (2024). </w:t>
                  </w:r>
                  <w:r w:rsidRPr="001E3217">
                    <w:rPr>
                      <w:i/>
                      <w:iCs/>
                      <w:noProof/>
                      <w:lang w:val="en-US"/>
                    </w:rPr>
                    <w:t>Evaluation of the Effect of Fluid and Electrolyte Therapy on Electrolytes and Acidosis Resolution Time in Diabetic Ketoacidosis.</w:t>
                  </w:r>
                  <w:r w:rsidRPr="001E3217">
                    <w:rPr>
                      <w:noProof/>
                      <w:lang w:val="en-US"/>
                    </w:rPr>
                    <w:t xml:space="preserve"> Turkish Journal of Pediatric Disease. doi:https://doi.org/10.12956/tchd.1397313.</w:t>
                  </w:r>
                </w:p>
                <w:p w14:paraId="35B405DA" w14:textId="77777777" w:rsidR="001E3217" w:rsidRPr="001E3217" w:rsidRDefault="001E3217" w:rsidP="001E3217">
                  <w:pPr>
                    <w:pStyle w:val="Bibliography"/>
                    <w:ind w:left="720" w:hanging="720"/>
                    <w:rPr>
                      <w:noProof/>
                      <w:lang w:val="en-US"/>
                    </w:rPr>
                  </w:pPr>
                  <w:r w:rsidRPr="001E3217">
                    <w:rPr>
                      <w:noProof/>
                      <w:lang w:val="en-US"/>
                    </w:rPr>
                    <w:t xml:space="preserve">Siyu Guo, M. Y. (2025). </w:t>
                  </w:r>
                  <w:r w:rsidRPr="001E3217">
                    <w:rPr>
                      <w:i/>
                      <w:iCs/>
                      <w:noProof/>
                      <w:lang w:val="en-US"/>
                    </w:rPr>
                    <w:t>From fuel to epigenetic signal: Lactate-lactylation axis orchestrates diabetic complications,</w:t>
                  </w:r>
                  <w:r w:rsidRPr="001E3217">
                    <w:rPr>
                      <w:noProof/>
                      <w:lang w:val="en-US"/>
                    </w:rPr>
                    <w:t xml:space="preserve"> (Vol. 222). Pharmacological Research,. doi:https://doi.org/10.1016/j.phrs.2025.108052.</w:t>
                  </w:r>
                </w:p>
                <w:p w14:paraId="56513B35" w14:textId="77777777" w:rsidR="001E3217" w:rsidRPr="001E3217" w:rsidRDefault="001E3217" w:rsidP="001E3217">
                  <w:pPr>
                    <w:pStyle w:val="Bibliography"/>
                    <w:ind w:left="720" w:hanging="720"/>
                    <w:rPr>
                      <w:noProof/>
                      <w:lang w:val="en-US"/>
                    </w:rPr>
                  </w:pPr>
                  <w:r w:rsidRPr="001E3217">
                    <w:rPr>
                      <w:noProof/>
                      <w:lang w:val="en-US"/>
                    </w:rPr>
                    <w:t xml:space="preserve">Tamargo, J. &amp;. (2009). </w:t>
                  </w:r>
                  <w:r w:rsidRPr="001E3217">
                    <w:rPr>
                      <w:i/>
                      <w:iCs/>
                      <w:noProof/>
                      <w:lang w:val="en-US"/>
                    </w:rPr>
                    <w:t>. New Investigational Drugs for the Management of Acute Heart Failure Syndromes.</w:t>
                  </w:r>
                  <w:r w:rsidRPr="001E3217">
                    <w:rPr>
                      <w:noProof/>
                      <w:lang w:val="en-US"/>
                    </w:rPr>
                    <w:t xml:space="preserve"> (Vol. 17). Current medicinal chemistry. doi:10.2174/092986710790192721</w:t>
                  </w:r>
                </w:p>
                <w:p w14:paraId="0559573E" w14:textId="77777777" w:rsidR="001E3217" w:rsidRPr="001E3217" w:rsidRDefault="001E3217" w:rsidP="001E3217">
                  <w:pPr>
                    <w:pStyle w:val="Bibliography"/>
                    <w:ind w:left="720" w:hanging="720"/>
                    <w:rPr>
                      <w:noProof/>
                      <w:lang w:val="en-US"/>
                    </w:rPr>
                  </w:pPr>
                  <w:r w:rsidRPr="001E3217">
                    <w:rPr>
                      <w:noProof/>
                      <w:lang w:val="en-US"/>
                    </w:rPr>
                    <w:t xml:space="preserve">Tremblay ES, M. K. (2022). </w:t>
                  </w:r>
                  <w:r w:rsidRPr="001E3217">
                    <w:rPr>
                      <w:i/>
                      <w:iCs/>
                      <w:noProof/>
                      <w:lang w:val="en-US"/>
                    </w:rPr>
                    <w:t>Utility of plasma beta-hydroxybutyrate to define resolution of diabetic ketoacidosis.</w:t>
                  </w:r>
                  <w:r w:rsidRPr="001E3217">
                    <w:rPr>
                      <w:noProof/>
                      <w:lang w:val="en-US"/>
                    </w:rPr>
                    <w:t xml:space="preserve"> Pediatr Diabetes. doi:10.1111/pedi.13437</w:t>
                  </w:r>
                </w:p>
                <w:p w14:paraId="4F74AA15" w14:textId="77777777" w:rsidR="001E3217" w:rsidRPr="001E3217" w:rsidRDefault="001E3217" w:rsidP="001E3217">
                  <w:pPr>
                    <w:pStyle w:val="Bibliography"/>
                    <w:ind w:left="720" w:hanging="720"/>
                    <w:rPr>
                      <w:noProof/>
                      <w:lang w:val="en-US"/>
                    </w:rPr>
                  </w:pPr>
                  <w:r w:rsidRPr="001E3217">
                    <w:rPr>
                      <w:noProof/>
                      <w:lang w:val="en-US"/>
                    </w:rPr>
                    <w:t xml:space="preserve">Tsuruta Y, e. a. (2024). </w:t>
                  </w:r>
                  <w:r w:rsidRPr="001E3217">
                    <w:rPr>
                      <w:i/>
                      <w:iCs/>
                      <w:noProof/>
                      <w:lang w:val="en-US"/>
                    </w:rPr>
                    <w:t>Emerging pathophysiological roles of ketone bodies.</w:t>
                  </w:r>
                  <w:r w:rsidRPr="001E3217">
                    <w:rPr>
                      <w:noProof/>
                      <w:lang w:val="en-US"/>
                    </w:rPr>
                    <w:t xml:space="preserve"> Fisiologia del Ejercicio.</w:t>
                  </w:r>
                </w:p>
                <w:p w14:paraId="49ADC92F" w14:textId="77777777" w:rsidR="001E3217" w:rsidRPr="001E3217" w:rsidRDefault="001E3217" w:rsidP="001E3217">
                  <w:pPr>
                    <w:pStyle w:val="Bibliography"/>
                    <w:ind w:left="720" w:hanging="720"/>
                    <w:rPr>
                      <w:noProof/>
                      <w:lang w:val="en-US"/>
                    </w:rPr>
                  </w:pPr>
                  <w:r w:rsidRPr="001E3217">
                    <w:rPr>
                      <w:noProof/>
                      <w:lang w:val="en-US"/>
                    </w:rPr>
                    <w:t xml:space="preserve">Umpierrez GE, D. G. (2024). Hyperglycaemic crises in adults with diabetes: a consensus report. </w:t>
                  </w:r>
                  <w:r w:rsidRPr="001E3217">
                    <w:rPr>
                      <w:i/>
                      <w:iCs/>
                      <w:noProof/>
                      <w:lang w:val="en-US"/>
                    </w:rPr>
                    <w:t>Diabetologia, 67</w:t>
                  </w:r>
                  <w:r w:rsidRPr="001E3217">
                    <w:rPr>
                      <w:noProof/>
                      <w:lang w:val="en-US"/>
                    </w:rPr>
                    <w:t>, 1455-1479. doi:10.1007/s00125-024-06183-8</w:t>
                  </w:r>
                </w:p>
                <w:p w14:paraId="2B0BFCF2" w14:textId="77777777" w:rsidR="001E3217" w:rsidRPr="001E3217" w:rsidRDefault="001E3217" w:rsidP="001E3217">
                  <w:pPr>
                    <w:pStyle w:val="Bibliography"/>
                    <w:ind w:left="720" w:hanging="720"/>
                    <w:rPr>
                      <w:noProof/>
                      <w:lang w:val="en-US"/>
                    </w:rPr>
                  </w:pPr>
                  <w:r w:rsidRPr="001E3217">
                    <w:rPr>
                      <w:noProof/>
                      <w:lang w:val="en-US"/>
                    </w:rPr>
                    <w:t xml:space="preserve">Wentz MR, e. a. (2021). </w:t>
                  </w:r>
                  <w:r w:rsidRPr="001E3217">
                    <w:rPr>
                      <w:i/>
                      <w:iCs/>
                      <w:noProof/>
                      <w:lang w:val="en-US"/>
                    </w:rPr>
                    <w:t>Ketone Bodies in the Brain Beyond Fuel Metabolism.</w:t>
                  </w:r>
                  <w:r w:rsidRPr="001E3217">
                    <w:rPr>
                      <w:noProof/>
                      <w:lang w:val="en-US"/>
                    </w:rPr>
                    <w:t xml:space="preserve"> Front Mol Neurosci.</w:t>
                  </w:r>
                </w:p>
                <w:p w14:paraId="05F3A6D6" w14:textId="77777777" w:rsidR="001E3217" w:rsidRPr="001E3217" w:rsidRDefault="001E3217" w:rsidP="001E3217">
                  <w:pPr>
                    <w:pStyle w:val="Bibliography"/>
                    <w:ind w:left="720" w:hanging="720"/>
                    <w:rPr>
                      <w:noProof/>
                      <w:lang w:val="en-US"/>
                    </w:rPr>
                  </w:pPr>
                  <w:r w:rsidRPr="001E3217">
                    <w:rPr>
                      <w:noProof/>
                      <w:lang w:val="en-US"/>
                    </w:rPr>
                    <w:t xml:space="preserve">Wu, X. S. (2020). Clinical profiles, outcomes and risk factors among type 2 diabetic inpatients with diabetic ketoacidosis and hyperglycemic hyperosmolar state: a hospital-based analysis over a 6-year period. </w:t>
                  </w:r>
                  <w:r w:rsidRPr="001E3217">
                    <w:rPr>
                      <w:i/>
                      <w:iCs/>
                      <w:noProof/>
                      <w:lang w:val="en-US"/>
                    </w:rPr>
                    <w:t>BMC Endocr Disord</w:t>
                  </w:r>
                  <w:r w:rsidRPr="001E3217">
                    <w:rPr>
                      <w:noProof/>
                      <w:lang w:val="en-US"/>
                    </w:rPr>
                    <w:t>. doi:https://doi.org/10.1186/s12902-020-00659-5</w:t>
                  </w:r>
                </w:p>
                <w:p w14:paraId="6F5407D4" w14:textId="77777777" w:rsidR="001E3217" w:rsidRPr="001E3217" w:rsidRDefault="001E3217" w:rsidP="001E3217">
                  <w:pPr>
                    <w:pStyle w:val="Bibliography"/>
                    <w:ind w:left="720" w:hanging="720"/>
                    <w:rPr>
                      <w:noProof/>
                      <w:lang w:val="en-US"/>
                    </w:rPr>
                  </w:pPr>
                  <w:r w:rsidRPr="001E3217">
                    <w:rPr>
                      <w:noProof/>
                      <w:lang w:val="en-US"/>
                    </w:rPr>
                    <w:t xml:space="preserve">Xie R, X. H. (2024). </w:t>
                  </w:r>
                  <w:r w:rsidRPr="001E3217">
                    <w:rPr>
                      <w:i/>
                      <w:iCs/>
                      <w:noProof/>
                      <w:lang w:val="en-US"/>
                    </w:rPr>
                    <w:t>Mitochondrial proteins as therapeutic targets in diabetic ketoacidosis: evidence from Mendelian randomization analysis.</w:t>
                  </w:r>
                  <w:r w:rsidRPr="001E3217">
                    <w:rPr>
                      <w:noProof/>
                      <w:lang w:val="en-US"/>
                    </w:rPr>
                    <w:t xml:space="preserve"> Front Pharmacol. doi:10.3389/fphar.2024.1448505</w:t>
                  </w:r>
                </w:p>
                <w:p w14:paraId="05BD30AD" w14:textId="77777777" w:rsidR="001E3217" w:rsidRPr="001E3217" w:rsidRDefault="001E3217" w:rsidP="001E3217">
                  <w:pPr>
                    <w:pStyle w:val="Bibliography"/>
                    <w:ind w:left="720" w:hanging="720"/>
                    <w:rPr>
                      <w:noProof/>
                      <w:lang w:val="en-US"/>
                    </w:rPr>
                  </w:pPr>
                  <w:r w:rsidRPr="001E3217">
                    <w:rPr>
                      <w:noProof/>
                      <w:lang w:val="en-US"/>
                    </w:rPr>
                    <w:t xml:space="preserve">Xu, J. &amp;. (2002). </w:t>
                  </w:r>
                  <w:r w:rsidRPr="001E3217">
                    <w:rPr>
                      <w:i/>
                      <w:iCs/>
                      <w:noProof/>
                      <w:lang w:val="en-US"/>
                    </w:rPr>
                    <w:t>Peroxisome Proliferator-activated Receptor ?? (PPAR??) Influences Substrate Utilization for Hepatic Glucose Production.</w:t>
                  </w:r>
                  <w:r w:rsidRPr="001E3217">
                    <w:rPr>
                      <w:noProof/>
                      <w:lang w:val="en-US"/>
                    </w:rPr>
                    <w:t xml:space="preserve"> (Vol. 222). The Journal of biological chemistry. doi: 10.1074/jbc.M201208200.</w:t>
                  </w:r>
                </w:p>
                <w:p w14:paraId="46011C9D" w14:textId="77777777" w:rsidR="001E3217" w:rsidRPr="001E3217" w:rsidRDefault="001E3217" w:rsidP="001E3217">
                  <w:pPr>
                    <w:pStyle w:val="Bibliography"/>
                    <w:ind w:left="720" w:hanging="720"/>
                    <w:rPr>
                      <w:noProof/>
                      <w:lang w:val="en-US"/>
                    </w:rPr>
                  </w:pPr>
                  <w:r w:rsidRPr="001E3217">
                    <w:rPr>
                      <w:noProof/>
                      <w:lang w:val="en-US"/>
                    </w:rPr>
                    <w:t xml:space="preserve">Zhang, L. e. (2026). </w:t>
                  </w:r>
                  <w:r w:rsidRPr="001E3217">
                    <w:rPr>
                      <w:i/>
                      <w:iCs/>
                      <w:noProof/>
                      <w:lang w:val="en-US"/>
                    </w:rPr>
                    <w:t>Mitochondrial lactate shuttling failure predicts coma in DKA: multi-omics analysis.</w:t>
                  </w:r>
                  <w:r w:rsidRPr="001E3217">
                    <w:rPr>
                      <w:noProof/>
                      <w:lang w:val="en-US"/>
                    </w:rPr>
                    <w:t xml:space="preserve"> Nat Metab. doi:10.1038/s42255-025-01345-7 </w:t>
                  </w:r>
                </w:p>
                <w:p w14:paraId="33B37C9E" w14:textId="77777777" w:rsidR="001E3217" w:rsidRPr="001E3217" w:rsidRDefault="001E3217" w:rsidP="001E3217">
                  <w:pPr>
                    <w:pStyle w:val="Bibliography"/>
                    <w:ind w:left="720" w:hanging="720"/>
                    <w:rPr>
                      <w:noProof/>
                      <w:lang w:val="en-US"/>
                    </w:rPr>
                  </w:pPr>
                  <w:r w:rsidRPr="001E3217">
                    <w:rPr>
                      <w:noProof/>
                      <w:lang w:val="en-US"/>
                    </w:rPr>
                    <w:t xml:space="preserve">Zubkiewicz-Kucharska, A. G. (2020). </w:t>
                  </w:r>
                  <w:r w:rsidRPr="001E3217">
                    <w:rPr>
                      <w:i/>
                      <w:iCs/>
                      <w:noProof/>
                      <w:lang w:val="en-US"/>
                    </w:rPr>
                    <w:t>Acute hypoxic hepatitis as a complication of diabetic ketoacidosis in a boy with newly diagnosed diabetes..</w:t>
                  </w:r>
                  <w:r w:rsidRPr="001E3217">
                    <w:rPr>
                      <w:noProof/>
                      <w:lang w:val="en-US"/>
                    </w:rPr>
                    <w:t xml:space="preserve"> Pediatric endocrinology, diabetes, and metabolism. doi:https://doi.org/10.5114/pedm.2020.95628.</w:t>
                  </w:r>
                </w:p>
                <w:p w14:paraId="103BFC61" w14:textId="1633152A" w:rsidR="00502BB2" w:rsidRDefault="001E3217" w:rsidP="0050493C">
                  <w:pPr>
                    <w:sectPr w:rsidR="00502BB2">
                      <w:headerReference w:type="default" r:id="rId167"/>
                      <w:pgSz w:w="12240" w:h="15840"/>
                      <w:pgMar w:top="1417" w:right="1417" w:bottom="1417" w:left="1417" w:header="720" w:footer="720" w:gutter="0"/>
                      <w:cols w:space="720"/>
                    </w:sectPr>
                  </w:pPr>
                  <w:r>
                    <w:rPr>
                      <w:b/>
                      <w:bCs/>
                      <w:noProof/>
                    </w:rPr>
                    <w:fldChar w:fldCharType="end"/>
                  </w:r>
                </w:p>
              </w:sdtContent>
            </w:sdt>
          </w:sdtContent>
        </w:sdt>
      </w:sdtContent>
    </w:sdt>
    <w:p w14:paraId="684DE064" w14:textId="77777777" w:rsidR="00502BB2" w:rsidRDefault="0069123E">
      <w:pPr>
        <w:rPr>
          <w:b/>
          <w:bCs/>
        </w:rPr>
        <w:sectPr w:rsidR="00502BB2">
          <w:headerReference w:type="default" r:id="rId168"/>
          <w:footerReference w:type="default" r:id="rId169"/>
          <w:pgSz w:w="12240" w:h="15840"/>
          <w:pgMar w:top="1417" w:right="1417" w:bottom="1417" w:left="1417" w:header="720" w:footer="720" w:gutter="0"/>
          <w:cols w:space="720"/>
        </w:sectPr>
      </w:pPr>
      <w:r>
        <w:rPr>
          <w:rFonts w:ascii="Times New Roman" w:hAnsi="Times New Roman" w:cs="Times New Roman"/>
          <w:noProof/>
          <w:kern w:val="0"/>
          <w:sz w:val="24"/>
          <w:szCs w:val="24"/>
          <w:lang w:eastAsia="fr-FR"/>
          <w14:ligatures w14:val="none"/>
        </w:rPr>
        <w:lastRenderedPageBreak/>
        <mc:AlternateContent>
          <mc:Choice Requires="wps">
            <w:drawing>
              <wp:anchor distT="0" distB="0" distL="114300" distR="114300" simplePos="0" relativeHeight="251702272" behindDoc="0" locked="0" layoutInCell="1" allowOverlap="1" wp14:anchorId="245648EB" wp14:editId="1D381A44">
                <wp:simplePos x="0" y="0"/>
                <wp:positionH relativeFrom="page">
                  <wp:posOffset>609600</wp:posOffset>
                </wp:positionH>
                <wp:positionV relativeFrom="paragraph">
                  <wp:posOffset>3596005</wp:posOffset>
                </wp:positionV>
                <wp:extent cx="7061200" cy="3952240"/>
                <wp:effectExtent l="0" t="0" r="0" b="0"/>
                <wp:wrapNone/>
                <wp:docPr id="1462068583" name="Text Box 35"/>
                <wp:cNvGraphicFramePr/>
                <a:graphic xmlns:a="http://schemas.openxmlformats.org/drawingml/2006/main">
                  <a:graphicData uri="http://schemas.microsoft.com/office/word/2010/wordprocessingShape">
                    <wps:wsp>
                      <wps:cNvSpPr txBox="1"/>
                      <wps:spPr>
                        <a:xfrm>
                          <a:off x="0" y="0"/>
                          <a:ext cx="7061200" cy="395224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7612EEA4"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ANNEXES</w:t>
                            </w:r>
                          </w:p>
                        </w:txbxContent>
                      </wps:txbx>
                      <wps:bodyPr rot="0" spcFirstLastPara="0" vertOverflow="clip" horzOverflow="clip" vert="horz" wrap="square" lIns="91440" tIns="45720" rIns="91440" bIns="45720" numCol="1" spcCol="0" rtlCol="0" fromWordArt="0" anchor="t" anchorCtr="0" forceAA="0" compatLnSpc="1">
                        <a:noAutofit/>
                      </wps:bodyPr>
                    </wps:wsp>
                  </a:graphicData>
                </a:graphic>
              </wp:anchor>
            </w:drawing>
          </mc:Choice>
          <mc:Fallback>
            <w:pict>
              <v:shape w14:anchorId="245648EB" id="Text Box 35" o:spid="_x0000_s1057" type="#_x0000_t202" style="position:absolute;margin-left:48pt;margin-top:283.15pt;width:556pt;height:311.2pt;z-index:25170227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VI6XUQIAAPYEAAAOAAAAZHJzL2Uyb0RvYy54bWysVE1vEzEQvSPxHyzf6SahHzTqpgqtipAq&#10;WlEQZ8drJxZej7Gd7IZf32dvkpZyKuKya8/3vDfji8u+tWyjQjTkaj4+GnGmnKTGuGXNv3+7efeB&#10;s5iEa4Qlp2q+VZFfzt6+uej8VE1oRbZRgSGIi9PO13yVkp9WVZQr1Yp4RF45KDWFViRcw7JqgugQ&#10;vbXVZDQ6rToKjQ8kVYyQXg9KPivxtVYy3WkdVWK25qgtlW8o30X+VrMLMV0G4VdG7soQ/1BFK4xD&#10;0kOoa5EEWwfzV6jWyECRdDqS1FaktZGq9IBuxqMX3TyshFelF4AT/QGm+P/Cyi+bB38fWOo/Ug8C&#10;MyCdj9MIYe6n16HNf1TKoAeE2wNsqk9MQng2Oh2DC84kdO/PTyaT4wJs9eTuQ0yfFLUsH2oewEuB&#10;S2xuY0JKmO5NcjZHN8bawo11fwhgmCXVU43llLZWZTvrvirNTFNKzYIow3JxZQMbOMdQos498yUY&#10;HLKhRsJX+u5csrcqo/ZK/4NTyU8uHfxb4ygUgMoiqNzARmCEm5+FIRSuB/s9FAMAGYvUL3ogACYO&#10;ZC6o2YLjQMP4Ry9vDHi4FTHdi4B5BybY4XSHj7bU1Vxa4zlbUfj9UpbtMH7QcNZhb2oef61FUJzZ&#10;zw6DeT4+BvsslcvxydkEl/Bcs3iucev2itDXGK+El+WY7ZPdH3Wg9gdWfJ6zQiWcRO6ap/3xKg3M&#10;4omQaj4vRlgtL9Kte/Ayh87wOpqvE2lThi3DNGCygw/LVWZw9xDk7X1+L1ZPz9XsEQAA//8DAFBL&#10;AwQUAAYACAAAACEAC2DroOAAAAAMAQAADwAAAGRycy9kb3ducmV2LnhtbEyPzU7DMBCE70i8g7WV&#10;uFG7haZpGqdCIK4g+oPEzY23SUS8jmK3CW/P9gS33Z3R7Df5ZnStuGAfGk8aZlMFAqn0tqFKw373&#10;ep+CCNGQNa0n1PCDATbF7U1uMusH+sDLNlaCQyhkRkMdY5dJGcoanQlT3yGxdvK9M5HXvpK2NwOH&#10;u1bOlUqkMw3xh9p0+Fxj+b09Ow2Ht9PX56N6r17cohv8qCS5ldT6bjI+rUFEHOOfGa74jA4FMx39&#10;mWwQrYZVwlWihkWSPIC4GuYq5dORp1maLkEWufxfovgFAAD//wMAUEsBAi0AFAAGAAgAAAAhALaD&#10;OJL+AAAA4QEAABMAAAAAAAAAAAAAAAAAAAAAAFtDb250ZW50X1R5cGVzXS54bWxQSwECLQAUAAYA&#10;CAAAACEAOP0h/9YAAACUAQAACwAAAAAAAAAAAAAAAAAvAQAAX3JlbHMvLnJlbHNQSwECLQAUAAYA&#10;CAAAACEAiVSOl1ECAAD2BAAADgAAAAAAAAAAAAAAAAAuAgAAZHJzL2Uyb0RvYy54bWxQSwECLQAU&#10;AAYACAAAACEAC2DroOAAAAAMAQAADwAAAAAAAAAAAAAAAACrBAAAZHJzL2Rvd25yZXYueG1sUEsF&#10;BgAAAAAEAAQA8wAAALgFAAAAAA==&#10;" filled="f" stroked="f">
                <v:textbox>
                  <w:txbxContent>
                    <w:p w14:paraId="7612EEA4" w14:textId="77777777" w:rsidR="00502BB2" w:rsidRDefault="0069123E">
                      <w:pPr>
                        <w:jc w:val="cente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pPr>
                      <w:r>
                        <w:rPr>
                          <w:rFonts w:ascii="Segoe Print" w:hAnsi="Segoe Print"/>
                          <w:b/>
                          <w:bCs/>
                          <w:sz w:val="76"/>
                          <w:szCs w:val="76"/>
                          <w14:shadow w14:blurRad="50800" w14:dist="38100" w14:dir="5400000" w14:sx="100000" w14:sy="100000" w14:kx="0" w14:ky="0" w14:algn="t">
                            <w14:srgbClr w14:val="000000">
                              <w14:alpha w14:val="60000"/>
                            </w14:srgbClr>
                          </w14:shadow>
                          <w14:reflection w14:blurRad="6350" w14:stA="50000" w14:stPos="0" w14:endA="300" w14:endPos="50000" w14:dist="60007" w14:dir="5400000" w14:fadeDir="5400000" w14:sx="100000" w14:sy="-100000" w14:kx="0" w14:ky="0" w14:algn="bl"/>
                        </w:rPr>
                        <w:t>ANNEXES</w:t>
                      </w:r>
                    </w:p>
                  </w:txbxContent>
                </v:textbox>
                <w10:wrap anchorx="page"/>
              </v:shape>
            </w:pict>
          </mc:Fallback>
        </mc:AlternateContent>
      </w:r>
      <w:r>
        <w:rPr>
          <w:noProof/>
        </w:rPr>
        <mc:AlternateContent>
          <mc:Choice Requires="wps">
            <w:drawing>
              <wp:anchor distT="0" distB="0" distL="114300" distR="114300" simplePos="0" relativeHeight="251701248" behindDoc="0" locked="0" layoutInCell="1" allowOverlap="1" wp14:anchorId="0C5473B4" wp14:editId="1EE7816E">
                <wp:simplePos x="0" y="0"/>
                <wp:positionH relativeFrom="margin">
                  <wp:align>right</wp:align>
                </wp:positionH>
                <wp:positionV relativeFrom="paragraph">
                  <wp:posOffset>2717800</wp:posOffset>
                </wp:positionV>
                <wp:extent cx="5372100" cy="3166110"/>
                <wp:effectExtent l="895350" t="0" r="19050" b="777240"/>
                <wp:wrapNone/>
                <wp:docPr id="940593894" name="Callout: Double Bent Line with No Border 23"/>
                <wp:cNvGraphicFramePr/>
                <a:graphic xmlns:a="http://schemas.openxmlformats.org/drawingml/2006/main">
                  <a:graphicData uri="http://schemas.microsoft.com/office/word/2010/wordprocessingShape">
                    <wps:wsp>
                      <wps:cNvSpPr/>
                      <wps:spPr>
                        <a:xfrm>
                          <a:off x="0" y="0"/>
                          <a:ext cx="5372100" cy="3166110"/>
                        </a:xfrm>
                        <a:prstGeom prst="callout3">
                          <a:avLst>
                            <a:gd name="adj1" fmla="val 18750"/>
                            <a:gd name="adj2" fmla="val -2801"/>
                            <a:gd name="adj3" fmla="val 18750"/>
                            <a:gd name="adj4" fmla="val -16667"/>
                            <a:gd name="adj5" fmla="val 100000"/>
                            <a:gd name="adj6" fmla="val -16667"/>
                            <a:gd name="adj7" fmla="val 123793"/>
                            <a:gd name="adj8" fmla="val -3014"/>
                          </a:avLst>
                        </a:prstGeom>
                        <a:gradFill rotWithShape="1">
                          <a:gsLst>
                            <a:gs pos="0">
                              <a:sysClr val="windowText" lastClr="000000">
                                <a:lumMod val="110000"/>
                                <a:satMod val="105000"/>
                                <a:tint val="67000"/>
                              </a:sysClr>
                            </a:gs>
                            <a:gs pos="50000">
                              <a:sysClr val="windowText" lastClr="000000">
                                <a:lumMod val="105000"/>
                                <a:satMod val="103000"/>
                                <a:tint val="73000"/>
                              </a:sysClr>
                            </a:gs>
                            <a:gs pos="100000">
                              <a:sysClr val="windowText" lastClr="000000">
                                <a:lumMod val="105000"/>
                                <a:satMod val="109000"/>
                                <a:tint val="81000"/>
                              </a:sysClr>
                            </a:gs>
                          </a:gsLst>
                          <a:lin ang="5400000" scaled="0"/>
                        </a:gradFill>
                        <a:ln w="6350" cap="flat" cmpd="sng" algn="ctr">
                          <a:solidFill>
                            <a:sysClr val="windowText" lastClr="000000"/>
                          </a:solidFill>
                          <a:prstDash val="solid"/>
                          <a:miter lim="800000"/>
                          <a:headEnd type="none" w="med" len="med"/>
                          <a:tailEnd type="none" w="med" len="med"/>
                        </a:ln>
                        <a:effectLst/>
                      </wps:spPr>
                      <wps:txbx>
                        <w:txbxContent>
                          <w:p w14:paraId="48C0B73C" w14:textId="77777777" w:rsidR="00502BB2" w:rsidRDefault="00502BB2"/>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C5473B4" id="_x0000_s1058" type="#_x0000_t43" style="position:absolute;margin-left:371.8pt;margin-top:214pt;width:423pt;height:249.3pt;z-index:25170124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pYIUQMAACMIAAAOAAAAZHJzL2Uyb0RvYy54bWysVctu2zgU3ReYfyC4TyxZfsWIUgRJMxgg&#10;bQKkg6wZirJY8KEh6dier+8hJduaJimCdryQKfLo8txzX+cft1qRZ+G8tKak+WlGiTDcVtKsSvr3&#10;15uTBSU+MFMxZY0o6U54+vHijw/nm3YpxraxqhKOwIjxy01b0iaEdjkaed4IzfypbYXBYW2dZgGv&#10;bjWqHNvAulajcZbNRhvrqtZZLrzH7nV3SC+S/boWPNzVtReBqJKCW0hPl55P8Tm6OGfLlWNtI3lP&#10;g/0CC82kwaUHU9csMLJ28oUpLbmz3tbhlFs9snUtuUg+wJs8+8Gbh4a1IvkCcXx7kMn/f2b5l+eH&#10;9t5Bhk3rlx7L6MW2djr+gx/ZJrF2B7HENhCOzWkxH+cZNOU4K/LZLM+TnKPj563z4U9hNYmLknKm&#10;lF2HIgnFnm99SIpVxDCN1GDVt5ySWisE4Jkpki/m032ABpjxEHMyXmR5H8QBphhi3rAzGWJOwH82&#10;f2loOgTBW/xegmZD0FuW5kNQPi7mZ8VLSyiWo/8nRZZPIgaK9mphtde0T7bqRipFnA2PMjQpX1CF&#10;XSb6vcCetBYpk6Vtv/NXyhEIXFLUUWU3XxFRShTzAQeAdV5G+2qtP9uqwyK6B+c9C8f9bHrYD9KE&#10;Dj2b95tg3N2Y3Fj5RLsnFD/8TVKDy/9LqniF1Hy/+TNSfZAjz1+W6k1WZ6+wWsQb+zD/IBV4rvZR&#10;VNIQFpvqdAJ8rDuPehJVX5cR6ljKhhQ5QzYlnRUoIMIZ+mqtGILMdYsPvFlRwtQKDZsH12WFVfLw&#10;8Xv97lLTDz+N2XnNfNNlQTrqslzLgD6vpC7pouOfOm8jWPXJVCTsWnQAgxFBI3EtKmSkAMG4SsjA&#10;pHoPEkIoEyUQqfujBiLNY3OLq7B92hIJJYpxNB63nmy1u3exkKKgxLf8RsKXW1TFPXPoSNjEmAt3&#10;eNTKgqPtV5Q01v372n7Eo1PjFE5hxED5f9bMwUX1l0FBnuWTCcyG9DKZzsd4ccOTp+GJWesri6JF&#10;jwS7tIz4oPbL2ln9iGl4GW/FETMcd3cx7l+uQjf6ME+5uLxMMMyhloVb89Dyfesw9nIdbC0P0nXq&#10;9DpiEnXF3E3NOOqG7wl1nO0X3wEAAP//AwBQSwMEFAAGAAgAAAAhAHH1zqHdAAAACAEAAA8AAABk&#10;cnMvZG93bnJldi54bWxMj8FOwzAQRO9I/IO1SFwQdRJVwYRsKkQFlwohCh/gxm4SEa8j203D37Oc&#10;4DarGc2+qTeLG8VsQxw8IeSrDISl1puBOoTPj+dbBSImTUaPnizCt42waS4val0Zf6Z3O+9TJ7iE&#10;YqUR+pSmSsrY9tbpuPKTJfaOPjid+AydNEGfudyNssiyUjo9EH/o9WSfett+7U8OYbsLN9TdqbcX&#10;N8ddbrbzq8qPiNdXy+MDiGSX9BeGX3xGh4aZDv5EJooRgYckhHWhWLCt1iWLA8J9UZYgm1r+H9D8&#10;AAAA//8DAFBLAQItABQABgAIAAAAIQC2gziS/gAAAOEBAAATAAAAAAAAAAAAAAAAAAAAAABbQ29u&#10;dGVudF9UeXBlc10ueG1sUEsBAi0AFAAGAAgAAAAhADj9If/WAAAAlAEAAAsAAAAAAAAAAAAAAAAA&#10;LwEAAF9yZWxzLy5yZWxzUEsBAi0AFAAGAAgAAAAhAOpqlghRAwAAIwgAAA4AAAAAAAAAAAAAAAAA&#10;LgIAAGRycy9lMm9Eb2MueG1sUEsBAi0AFAAGAAgAAAAhAHH1zqHdAAAACAEAAA8AAAAAAAAAAAAA&#10;AAAAqwUAAGRycy9kb3ducmV2LnhtbFBLBQYAAAAABAAEAPMAAAC1BgAAAAA=&#10;" adj="-651,26739,-3600,,-3600,,-605" fillcolor="#9b9b9b" strokecolor="windowText" strokeweight=".5pt">
                <v:fill color2="#797979" rotate="t" colors="0 #9b9b9b;.5 #8e8e8e;1 #797979" focus="100%" type="gradient">
                  <o:fill v:ext="view" type="gradientUnscaled"/>
                </v:fill>
                <v:textbox>
                  <w:txbxContent>
                    <w:p w14:paraId="48C0B73C" w14:textId="77777777" w:rsidR="00502BB2" w:rsidRDefault="00502BB2"/>
                  </w:txbxContent>
                </v:textbox>
                <o:callout v:ext="edit" minusx="t" minusy="t"/>
                <w10:wrap anchorx="margin"/>
              </v:shape>
            </w:pict>
          </mc:Fallback>
        </mc:AlternateContent>
      </w:r>
    </w:p>
    <w:p w14:paraId="0EA63D4A" w14:textId="77777777" w:rsidR="00502BB2" w:rsidRDefault="0069123E">
      <w:pPr>
        <w:pStyle w:val="Heading1"/>
        <w:rPr>
          <w:rFonts w:ascii="Segoe Print" w:hAnsi="Segoe Print"/>
          <w:b/>
          <w:bCs/>
          <w:color w:val="0D0D0D" w:themeColor="text1" w:themeTint="F2"/>
          <w:sz w:val="42"/>
          <w:szCs w:val="42"/>
        </w:rPr>
      </w:pPr>
      <w:bookmarkStart w:id="128" w:name="_Toc226577368"/>
      <w:r>
        <w:rPr>
          <w:rFonts w:ascii="Segoe Print" w:hAnsi="Segoe Print"/>
          <w:b/>
          <w:bCs/>
          <w:color w:val="0D0D0D" w:themeColor="text1" w:themeTint="F2"/>
          <w:sz w:val="42"/>
          <w:szCs w:val="42"/>
        </w:rPr>
        <w:lastRenderedPageBreak/>
        <w:t>Annexes</w:t>
      </w:r>
      <w:bookmarkEnd w:id="128"/>
    </w:p>
    <w:p w14:paraId="1A89F502" w14:textId="77777777" w:rsidR="00502BB2" w:rsidRDefault="0069123E">
      <w:pPr>
        <w:pStyle w:val="Heading2"/>
        <w:rPr>
          <w:rFonts w:asciiTheme="minorBidi" w:hAnsiTheme="minorBidi" w:cstheme="minorBidi"/>
          <w:b/>
          <w:bCs/>
          <w:color w:val="0D0D0D" w:themeColor="text1" w:themeTint="F2"/>
        </w:rPr>
      </w:pPr>
      <w:bookmarkStart w:id="129" w:name="_Toc226577369"/>
      <w:r>
        <w:rPr>
          <w:rFonts w:asciiTheme="minorBidi" w:hAnsiTheme="minorBidi" w:cstheme="minorBidi"/>
          <w:b/>
          <w:bCs/>
          <w:color w:val="0D0D0D" w:themeColor="text1" w:themeTint="F2"/>
        </w:rPr>
        <w:t>Annexe 1 :</w:t>
      </w:r>
      <w:bookmarkEnd w:id="129"/>
      <w:r>
        <w:rPr>
          <w:rFonts w:asciiTheme="minorBidi" w:hAnsiTheme="minorBidi" w:cstheme="minorBidi"/>
          <w:b/>
          <w:bCs/>
          <w:color w:val="0D0D0D" w:themeColor="text1" w:themeTint="F2"/>
        </w:rPr>
        <w:t xml:space="preserve"> </w:t>
      </w:r>
    </w:p>
    <w:p w14:paraId="39891F40" w14:textId="77777777" w:rsidR="00502BB2" w:rsidRDefault="00502BB2">
      <w:pPr>
        <w:rPr>
          <w:b/>
          <w:bCs/>
        </w:rPr>
      </w:pPr>
    </w:p>
    <w:p w14:paraId="5C80A5B4" w14:textId="77777777" w:rsidR="00502BB2" w:rsidRDefault="0069123E">
      <w:pPr>
        <w:keepNext/>
        <w:jc w:val="center"/>
      </w:pPr>
      <w:r>
        <w:rPr>
          <w:noProof/>
        </w:rPr>
        <w:drawing>
          <wp:inline distT="0" distB="0" distL="0" distR="0" wp14:anchorId="325D25EA" wp14:editId="3A844A64">
            <wp:extent cx="3036570" cy="6482715"/>
            <wp:effectExtent l="0" t="0" r="0" b="0"/>
            <wp:docPr id="5270918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709184" name="Picture 36"/>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a:xfrm>
                      <a:off x="0" y="0"/>
                      <a:ext cx="3054203" cy="6519334"/>
                    </a:xfrm>
                    <a:prstGeom prst="rect">
                      <a:avLst/>
                    </a:prstGeom>
                    <a:noFill/>
                    <a:ln>
                      <a:noFill/>
                    </a:ln>
                  </pic:spPr>
                </pic:pic>
              </a:graphicData>
            </a:graphic>
          </wp:inline>
        </w:drawing>
      </w:r>
    </w:p>
    <w:p w14:paraId="4E61C0DB" w14:textId="0F41D43D" w:rsidR="00502BB2" w:rsidRDefault="0069123E">
      <w:pPr>
        <w:pStyle w:val="Caption"/>
        <w:jc w:val="center"/>
        <w:rPr>
          <w:rFonts w:asciiTheme="minorBidi" w:hAnsiTheme="minorBidi"/>
          <w:b/>
          <w:bCs/>
          <w:sz w:val="24"/>
          <w:szCs w:val="24"/>
        </w:rPr>
      </w:pPr>
      <w:bookmarkStart w:id="130" w:name="_Toc225723062"/>
      <w:r>
        <w:rPr>
          <w:rFonts w:asciiTheme="minorBidi" w:hAnsiTheme="minorBidi"/>
          <w:b/>
          <w:bCs/>
          <w:sz w:val="24"/>
          <w:szCs w:val="24"/>
        </w:rPr>
        <w:t xml:space="preserve">Figure </w:t>
      </w:r>
      <w:r>
        <w:rPr>
          <w:rFonts w:asciiTheme="minorBidi" w:hAnsiTheme="minorBidi"/>
          <w:b/>
          <w:bCs/>
          <w:sz w:val="24"/>
          <w:szCs w:val="24"/>
        </w:rPr>
        <w:fldChar w:fldCharType="begin"/>
      </w:r>
      <w:r>
        <w:rPr>
          <w:rFonts w:asciiTheme="minorBidi" w:hAnsiTheme="minorBidi"/>
          <w:b/>
          <w:bCs/>
          <w:sz w:val="24"/>
          <w:szCs w:val="24"/>
        </w:rPr>
        <w:instrText xml:space="preserve"> SEQ Figure \* ARABIC </w:instrText>
      </w:r>
      <w:r>
        <w:rPr>
          <w:rFonts w:asciiTheme="minorBidi" w:hAnsiTheme="minorBidi"/>
          <w:b/>
          <w:bCs/>
          <w:sz w:val="24"/>
          <w:szCs w:val="24"/>
        </w:rPr>
        <w:fldChar w:fldCharType="separate"/>
      </w:r>
      <w:r w:rsidR="003462B7">
        <w:rPr>
          <w:rFonts w:asciiTheme="minorBidi" w:hAnsiTheme="minorBidi"/>
          <w:b/>
          <w:bCs/>
          <w:noProof/>
          <w:sz w:val="24"/>
          <w:szCs w:val="24"/>
        </w:rPr>
        <w:t>58</w:t>
      </w:r>
      <w:r>
        <w:rPr>
          <w:rFonts w:asciiTheme="minorBidi" w:hAnsiTheme="minorBidi"/>
          <w:b/>
          <w:bCs/>
          <w:sz w:val="24"/>
          <w:szCs w:val="24"/>
        </w:rPr>
        <w:fldChar w:fldCharType="end"/>
      </w:r>
      <w:r>
        <w:rPr>
          <w:rFonts w:asciiTheme="minorBidi" w:hAnsiTheme="minorBidi"/>
          <w:sz w:val="24"/>
          <w:szCs w:val="24"/>
        </w:rPr>
        <w:t xml:space="preserve"> : Figure du schéma de diagnostique</w:t>
      </w:r>
      <w:bookmarkEnd w:id="130"/>
    </w:p>
    <w:p w14:paraId="173082EE" w14:textId="77777777" w:rsidR="00502BB2" w:rsidRDefault="00502BB2">
      <w:pPr>
        <w:rPr>
          <w:b/>
          <w:bCs/>
        </w:rPr>
      </w:pPr>
    </w:p>
    <w:p w14:paraId="3B1B911E" w14:textId="77777777" w:rsidR="00502BB2" w:rsidRDefault="0069123E">
      <w:pPr>
        <w:pStyle w:val="Heading2"/>
        <w:rPr>
          <w:rFonts w:asciiTheme="minorBidi" w:hAnsiTheme="minorBidi" w:cstheme="minorBidi"/>
          <w:b/>
          <w:bCs/>
          <w:color w:val="0D0D0D" w:themeColor="text1" w:themeTint="F2"/>
          <w:sz w:val="28"/>
          <w:szCs w:val="28"/>
        </w:rPr>
      </w:pPr>
      <w:bookmarkStart w:id="131" w:name="_Toc226577370"/>
      <w:r>
        <w:rPr>
          <w:rFonts w:asciiTheme="minorBidi" w:hAnsiTheme="minorBidi" w:cstheme="minorBidi"/>
          <w:b/>
          <w:bCs/>
          <w:color w:val="0D0D0D" w:themeColor="text1" w:themeTint="F2"/>
          <w:sz w:val="28"/>
          <w:szCs w:val="28"/>
        </w:rPr>
        <w:t>Annexe 2 :</w:t>
      </w:r>
      <w:bookmarkEnd w:id="131"/>
    </w:p>
    <w:p w14:paraId="2B9B0FA1" w14:textId="77777777" w:rsidR="00502BB2" w:rsidRDefault="00502BB2"/>
    <w:p w14:paraId="76B36442" w14:textId="77777777" w:rsidR="00502BB2" w:rsidRDefault="0069123E">
      <w:pPr>
        <w:rPr>
          <w:b/>
          <w:bCs/>
        </w:rPr>
      </w:pPr>
      <w:r>
        <w:rPr>
          <w:b/>
          <w:bCs/>
        </w:rPr>
        <w:t>FICHE DE RECUEIL DE DONNÉES : Pour le thème intitulé : « </w:t>
      </w:r>
      <w:r>
        <w:t>étude intégrative de dysfonctionnements métabolique prédictif du coma diabétique</w:t>
      </w:r>
      <w:r>
        <w:rPr>
          <w:b/>
          <w:bCs/>
        </w:rPr>
        <w:t xml:space="preserve"> »</w:t>
      </w:r>
    </w:p>
    <w:p w14:paraId="5B1A30D6" w14:textId="77777777" w:rsidR="00502BB2" w:rsidRDefault="0069123E">
      <w:r>
        <w:rPr>
          <w:b/>
          <w:bCs/>
        </w:rPr>
        <w:t>Code patient :</w:t>
      </w:r>
      <w:r>
        <w:t xml:space="preserve"> ___________</w:t>
      </w:r>
      <w:r>
        <w:br/>
      </w:r>
      <w:r>
        <w:rPr>
          <w:b/>
          <w:bCs/>
        </w:rPr>
        <w:t>Date :</w:t>
      </w:r>
      <w:r>
        <w:t xml:space="preserve"> ___ / ___ / _____</w:t>
      </w:r>
      <w:r>
        <w:br/>
      </w:r>
      <w:r>
        <w:rPr>
          <w:b/>
          <w:bCs/>
        </w:rPr>
        <w:t>Service :</w:t>
      </w:r>
      <w:r>
        <w:t xml:space="preserve"> __________________</w:t>
      </w:r>
    </w:p>
    <w:p w14:paraId="16D05B22" w14:textId="77777777" w:rsidR="00502BB2" w:rsidRDefault="0069123E">
      <w:r>
        <w:pict w14:anchorId="0026A3A4">
          <v:rect id="_x0000_i1054" style="width:0;height:1.5pt" o:hralign="center" o:hrstd="t" o:hr="t" fillcolor="#a0a0a0" stroked="f"/>
        </w:pict>
      </w:r>
    </w:p>
    <w:p w14:paraId="5244F593" w14:textId="77777777" w:rsidR="00502BB2" w:rsidRDefault="0069123E">
      <w:pPr>
        <w:rPr>
          <w:b/>
          <w:bCs/>
        </w:rPr>
      </w:pPr>
      <w:r>
        <w:rPr>
          <w:b/>
          <w:bCs/>
        </w:rPr>
        <w:t>I. Données sociodémographiques</w:t>
      </w:r>
    </w:p>
    <w:p w14:paraId="3A8DFA85" w14:textId="77777777" w:rsidR="00502BB2" w:rsidRDefault="0069123E">
      <w:pPr>
        <w:numPr>
          <w:ilvl w:val="0"/>
          <w:numId w:val="27"/>
        </w:numPr>
      </w:pPr>
      <w:r>
        <w:t>Âge : ______ ans</w:t>
      </w:r>
    </w:p>
    <w:p w14:paraId="73D08C4A" w14:textId="77777777" w:rsidR="00502BB2" w:rsidRDefault="0069123E">
      <w:pPr>
        <w:numPr>
          <w:ilvl w:val="0"/>
          <w:numId w:val="27"/>
        </w:numPr>
      </w:pPr>
      <w:r>
        <w:t>Sexe : ☐ Homme ☐ Femme</w:t>
      </w:r>
    </w:p>
    <w:p w14:paraId="22A2FA21" w14:textId="77777777" w:rsidR="00502BB2" w:rsidRDefault="0069123E">
      <w:pPr>
        <w:numPr>
          <w:ilvl w:val="0"/>
          <w:numId w:val="27"/>
        </w:numPr>
      </w:pPr>
      <w:r>
        <w:t>Poids : ______ kg</w:t>
      </w:r>
    </w:p>
    <w:p w14:paraId="61629895" w14:textId="77777777" w:rsidR="00502BB2" w:rsidRDefault="0069123E">
      <w:pPr>
        <w:numPr>
          <w:ilvl w:val="0"/>
          <w:numId w:val="27"/>
        </w:numPr>
      </w:pPr>
      <w:r>
        <w:t>Taille : ______ cm</w:t>
      </w:r>
    </w:p>
    <w:p w14:paraId="1E8468BE" w14:textId="77777777" w:rsidR="00502BB2" w:rsidRDefault="0069123E">
      <w:pPr>
        <w:numPr>
          <w:ilvl w:val="0"/>
          <w:numId w:val="27"/>
        </w:numPr>
      </w:pPr>
      <w:r>
        <w:t>IMC : ______ kg/m²</w:t>
      </w:r>
    </w:p>
    <w:p w14:paraId="58B307FB" w14:textId="77777777" w:rsidR="00502BB2" w:rsidRDefault="0069123E">
      <w:r>
        <w:pict w14:anchorId="65607EBA">
          <v:rect id="_x0000_i1055" style="width:0;height:1.5pt" o:hralign="center" o:hrstd="t" o:hr="t" fillcolor="#a0a0a0" stroked="f"/>
        </w:pict>
      </w:r>
    </w:p>
    <w:p w14:paraId="6746028C" w14:textId="77777777" w:rsidR="00502BB2" w:rsidRDefault="0069123E">
      <w:pPr>
        <w:rPr>
          <w:b/>
          <w:bCs/>
        </w:rPr>
      </w:pPr>
      <w:r>
        <w:rPr>
          <w:b/>
          <w:bCs/>
        </w:rPr>
        <w:t>II. Caractéristiques du diabète</w:t>
      </w:r>
    </w:p>
    <w:p w14:paraId="03DC90F3" w14:textId="77777777" w:rsidR="00502BB2" w:rsidRDefault="0069123E">
      <w:pPr>
        <w:numPr>
          <w:ilvl w:val="0"/>
          <w:numId w:val="28"/>
        </w:numPr>
      </w:pPr>
      <w:r>
        <w:t xml:space="preserve">Type de diabète : ☐ DT1 ☐ DT2 </w:t>
      </w:r>
    </w:p>
    <w:p w14:paraId="3FB176D2" w14:textId="77777777" w:rsidR="00502BB2" w:rsidRDefault="0069123E">
      <w:pPr>
        <w:numPr>
          <w:ilvl w:val="0"/>
          <w:numId w:val="28"/>
        </w:numPr>
      </w:pPr>
      <w:r>
        <w:t>Durée du diabète : ______ années</w:t>
      </w:r>
    </w:p>
    <w:p w14:paraId="16282724" w14:textId="77777777" w:rsidR="00502BB2" w:rsidRDefault="0069123E">
      <w:pPr>
        <w:numPr>
          <w:ilvl w:val="0"/>
          <w:numId w:val="28"/>
        </w:numPr>
      </w:pPr>
      <w:r>
        <w:t>HbA1c récente (&lt;3 mois) : ______ %</w:t>
      </w:r>
    </w:p>
    <w:p w14:paraId="1D72432F" w14:textId="77777777" w:rsidR="00502BB2" w:rsidRDefault="0069123E">
      <w:r>
        <w:pict w14:anchorId="41EA8F98">
          <v:rect id="_x0000_i1056" style="width:0;height:1.5pt" o:hralign="center" o:hrstd="t" o:hr="t" fillcolor="#a0a0a0" stroked="f"/>
        </w:pict>
      </w:r>
    </w:p>
    <w:p w14:paraId="438810E8" w14:textId="77777777" w:rsidR="00502BB2" w:rsidRDefault="0069123E">
      <w:pPr>
        <w:rPr>
          <w:b/>
          <w:bCs/>
        </w:rPr>
      </w:pPr>
      <w:r>
        <w:rPr>
          <w:b/>
          <w:bCs/>
        </w:rPr>
        <w:t>III. Antécédents familiaux</w:t>
      </w:r>
      <w:r>
        <w:br/>
        <w:t xml:space="preserve">        ☐ Aucun</w:t>
      </w:r>
      <w:r>
        <w:br/>
        <w:t xml:space="preserve">        ☐ DT1</w:t>
      </w:r>
      <w:r>
        <w:br/>
        <w:t xml:space="preserve">        ☐ DT2</w:t>
      </w:r>
    </w:p>
    <w:p w14:paraId="55FD5BE9" w14:textId="77777777" w:rsidR="00502BB2" w:rsidRDefault="0069123E">
      <w:r>
        <w:pict w14:anchorId="5E93A344">
          <v:rect id="_x0000_i1057" style="width:0;height:1.5pt" o:hralign="center" o:hrstd="t" o:hr="t" fillcolor="#a0a0a0" stroked="f"/>
        </w:pict>
      </w:r>
    </w:p>
    <w:p w14:paraId="73BBEC5B" w14:textId="77777777" w:rsidR="00502BB2" w:rsidRDefault="0069123E">
      <w:pPr>
        <w:rPr>
          <w:b/>
          <w:bCs/>
        </w:rPr>
      </w:pPr>
      <w:r>
        <w:rPr>
          <w:b/>
          <w:bCs/>
        </w:rPr>
        <w:t>IV. Traitement habituel</w:t>
      </w:r>
    </w:p>
    <w:p w14:paraId="0B6762C9" w14:textId="77777777" w:rsidR="00502BB2" w:rsidRDefault="0069123E">
      <w:pPr>
        <w:numPr>
          <w:ilvl w:val="0"/>
          <w:numId w:val="29"/>
        </w:numPr>
      </w:pPr>
      <w:r>
        <w:t>☐</w:t>
      </w:r>
      <w:r>
        <w:t xml:space="preserve"> Insuline</w:t>
      </w:r>
    </w:p>
    <w:p w14:paraId="18457916" w14:textId="77777777" w:rsidR="00502BB2" w:rsidRDefault="0069123E">
      <w:pPr>
        <w:numPr>
          <w:ilvl w:val="1"/>
          <w:numId w:val="29"/>
        </w:numPr>
      </w:pPr>
      <w:r>
        <w:t>Schéma : ____________________</w:t>
      </w:r>
    </w:p>
    <w:p w14:paraId="3C430015" w14:textId="77777777" w:rsidR="00502BB2" w:rsidRDefault="0069123E">
      <w:pPr>
        <w:numPr>
          <w:ilvl w:val="0"/>
          <w:numId w:val="29"/>
        </w:numPr>
      </w:pPr>
      <w:r>
        <w:t>☐</w:t>
      </w:r>
      <w:r>
        <w:t xml:space="preserve"> Antidiabétiques oraux</w:t>
      </w:r>
    </w:p>
    <w:p w14:paraId="7166FD38" w14:textId="77777777" w:rsidR="00502BB2" w:rsidRDefault="0069123E">
      <w:pPr>
        <w:numPr>
          <w:ilvl w:val="1"/>
          <w:numId w:val="29"/>
        </w:numPr>
      </w:pPr>
      <w:r>
        <w:t>☐</w:t>
      </w:r>
      <w:r>
        <w:t xml:space="preserve"> Metformine</w:t>
      </w:r>
    </w:p>
    <w:p w14:paraId="170D3426" w14:textId="77777777" w:rsidR="00502BB2" w:rsidRDefault="0069123E">
      <w:pPr>
        <w:numPr>
          <w:ilvl w:val="1"/>
          <w:numId w:val="29"/>
        </w:numPr>
      </w:pPr>
      <w:r>
        <w:lastRenderedPageBreak/>
        <w:t>☐</w:t>
      </w:r>
      <w:r>
        <w:t xml:space="preserve"> Sulfamides</w:t>
      </w:r>
    </w:p>
    <w:p w14:paraId="7096515F" w14:textId="77777777" w:rsidR="00502BB2" w:rsidRDefault="0069123E">
      <w:pPr>
        <w:numPr>
          <w:ilvl w:val="1"/>
          <w:numId w:val="29"/>
        </w:numPr>
      </w:pPr>
      <w:r>
        <w:t>☐</w:t>
      </w:r>
      <w:r>
        <w:t xml:space="preserve"> Autres : __________________</w:t>
      </w:r>
    </w:p>
    <w:p w14:paraId="51BC92DC" w14:textId="77777777" w:rsidR="00502BB2" w:rsidRDefault="0069123E">
      <w:pPr>
        <w:pStyle w:val="ListParagraph"/>
        <w:numPr>
          <w:ilvl w:val="0"/>
          <w:numId w:val="29"/>
        </w:numPr>
        <w:spacing w:line="360" w:lineRule="auto"/>
      </w:pPr>
      <w:r>
        <w:t>Utilisation récente de corticoïdes : ☐ Oui ☐ Non</w:t>
      </w:r>
    </w:p>
    <w:p w14:paraId="4A5AEABF" w14:textId="77777777" w:rsidR="00502BB2" w:rsidRDefault="0069123E">
      <w:pPr>
        <w:pStyle w:val="ListParagraph"/>
        <w:numPr>
          <w:ilvl w:val="0"/>
          <w:numId w:val="29"/>
        </w:numPr>
        <w:spacing w:line="360" w:lineRule="auto"/>
      </w:pPr>
      <w:r>
        <w:t>Utilisation de psychotropes : ☐ Oui ☐ Non</w:t>
      </w:r>
    </w:p>
    <w:p w14:paraId="1CEC7FA6" w14:textId="77777777" w:rsidR="00502BB2" w:rsidRDefault="0069123E">
      <w:pPr>
        <w:pStyle w:val="ListParagraph"/>
        <w:numPr>
          <w:ilvl w:val="0"/>
          <w:numId w:val="29"/>
        </w:numPr>
        <w:spacing w:line="360" w:lineRule="auto"/>
      </w:pPr>
      <w:r>
        <w:t>Si oui : ☐ Anxiolytique ☐ Antidépresseur ☐ Antipsychotique</w:t>
      </w:r>
    </w:p>
    <w:p w14:paraId="37E9CA1D" w14:textId="77777777" w:rsidR="00502BB2" w:rsidRDefault="0069123E">
      <w:pPr>
        <w:pStyle w:val="ListParagraph"/>
        <w:numPr>
          <w:ilvl w:val="0"/>
          <w:numId w:val="29"/>
        </w:numPr>
        <w:spacing w:line="360" w:lineRule="auto"/>
      </w:pPr>
      <w:r>
        <w:t>Observance thérapeutique correcte : ☐ Oui ☐ Non</w:t>
      </w:r>
    </w:p>
    <w:p w14:paraId="1EFB86F7" w14:textId="77777777" w:rsidR="00502BB2" w:rsidRDefault="0069123E">
      <w:pPr>
        <w:spacing w:line="360" w:lineRule="auto"/>
        <w:ind w:left="360"/>
      </w:pPr>
      <w:r>
        <w:pict w14:anchorId="60EB5ADE">
          <v:rect id="_x0000_i1058" style="width:0;height:1.5pt" o:hralign="center" o:hrstd="t" o:hr="t" fillcolor="#a0a0a0" stroked="f"/>
        </w:pict>
      </w:r>
    </w:p>
    <w:p w14:paraId="32756FB3" w14:textId="77777777" w:rsidR="00502BB2" w:rsidRDefault="0069123E">
      <w:pPr>
        <w:rPr>
          <w:b/>
          <w:bCs/>
        </w:rPr>
      </w:pPr>
      <w:r>
        <w:rPr>
          <w:b/>
          <w:bCs/>
        </w:rPr>
        <w:t>V. Comorbidités</w:t>
      </w:r>
    </w:p>
    <w:p w14:paraId="5E4AE1D2" w14:textId="77777777" w:rsidR="00502BB2" w:rsidRDefault="0069123E">
      <w:pPr>
        <w:numPr>
          <w:ilvl w:val="0"/>
          <w:numId w:val="30"/>
        </w:numPr>
      </w:pPr>
      <w:r>
        <w:t>☐</w:t>
      </w:r>
      <w:r>
        <w:t xml:space="preserve"> Hypertension artérielle</w:t>
      </w:r>
    </w:p>
    <w:p w14:paraId="79C60D2D" w14:textId="77777777" w:rsidR="00502BB2" w:rsidRDefault="0069123E">
      <w:pPr>
        <w:numPr>
          <w:ilvl w:val="0"/>
          <w:numId w:val="30"/>
        </w:numPr>
      </w:pPr>
      <w:r>
        <w:t>☐</w:t>
      </w:r>
      <w:r>
        <w:t xml:space="preserve"> Dyslipidémie</w:t>
      </w:r>
    </w:p>
    <w:p w14:paraId="3DF47A06" w14:textId="77777777" w:rsidR="00502BB2" w:rsidRDefault="0069123E">
      <w:pPr>
        <w:numPr>
          <w:ilvl w:val="0"/>
          <w:numId w:val="30"/>
        </w:numPr>
      </w:pPr>
      <w:r>
        <w:t>☐</w:t>
      </w:r>
      <w:r>
        <w:t xml:space="preserve"> Insuffisance rénale chronique</w:t>
      </w:r>
    </w:p>
    <w:p w14:paraId="66FA09A0" w14:textId="77777777" w:rsidR="00502BB2" w:rsidRDefault="0069123E">
      <w:pPr>
        <w:numPr>
          <w:ilvl w:val="0"/>
          <w:numId w:val="30"/>
        </w:numPr>
      </w:pPr>
      <w:r>
        <w:t>☐</w:t>
      </w:r>
      <w:r>
        <w:t xml:space="preserve"> Insuffisance hépatique</w:t>
      </w:r>
    </w:p>
    <w:p w14:paraId="215029FA" w14:textId="77777777" w:rsidR="00502BB2" w:rsidRDefault="0069123E">
      <w:pPr>
        <w:numPr>
          <w:ilvl w:val="0"/>
          <w:numId w:val="30"/>
        </w:numPr>
      </w:pPr>
      <w:r>
        <w:t>☐</w:t>
      </w:r>
      <w:r>
        <w:t xml:space="preserve"> Cardiopathie</w:t>
      </w:r>
    </w:p>
    <w:p w14:paraId="1B67100C" w14:textId="77777777" w:rsidR="00502BB2" w:rsidRDefault="0069123E">
      <w:pPr>
        <w:numPr>
          <w:ilvl w:val="0"/>
          <w:numId w:val="30"/>
        </w:numPr>
      </w:pPr>
      <w:r>
        <w:t>☐</w:t>
      </w:r>
      <w:r>
        <w:t xml:space="preserve"> Pathologie respiratoire chronique</w:t>
      </w:r>
    </w:p>
    <w:p w14:paraId="5BDF66FD" w14:textId="77777777" w:rsidR="00502BB2" w:rsidRDefault="0069123E">
      <w:pPr>
        <w:numPr>
          <w:ilvl w:val="0"/>
          <w:numId w:val="30"/>
        </w:numPr>
      </w:pPr>
      <w:r>
        <w:t>☐</w:t>
      </w:r>
      <w:r>
        <w:t xml:space="preserve"> Infection récente (&lt;2 semaines)</w:t>
      </w:r>
    </w:p>
    <w:p w14:paraId="247ECE74" w14:textId="77777777" w:rsidR="00502BB2" w:rsidRDefault="0069123E">
      <w:pPr>
        <w:numPr>
          <w:ilvl w:val="0"/>
          <w:numId w:val="30"/>
        </w:numPr>
      </w:pPr>
      <w:r>
        <w:t>☐</w:t>
      </w:r>
      <w:r>
        <w:t xml:space="preserve"> Autres : __________________</w:t>
      </w:r>
    </w:p>
    <w:p w14:paraId="2FC30A1D" w14:textId="77777777" w:rsidR="00502BB2" w:rsidRDefault="0069123E">
      <w:r>
        <w:pict w14:anchorId="4009D775">
          <v:rect id="_x0000_i1059" style="width:0;height:1.5pt" o:hralign="center" o:hrstd="t" o:hr="t" fillcolor="#a0a0a0" stroked="f"/>
        </w:pict>
      </w:r>
    </w:p>
    <w:p w14:paraId="6867C96F" w14:textId="77777777" w:rsidR="00502BB2" w:rsidRDefault="0069123E">
      <w:pPr>
        <w:rPr>
          <w:b/>
          <w:bCs/>
        </w:rPr>
      </w:pPr>
      <w:r>
        <w:rPr>
          <w:b/>
          <w:bCs/>
        </w:rPr>
        <w:t>VII. Complications chroniques du diabète</w:t>
      </w:r>
    </w:p>
    <w:p w14:paraId="70A78B6D" w14:textId="77777777" w:rsidR="00502BB2" w:rsidRDefault="0069123E">
      <w:pPr>
        <w:pStyle w:val="ListParagraph"/>
        <w:numPr>
          <w:ilvl w:val="0"/>
          <w:numId w:val="31"/>
        </w:numPr>
      </w:pPr>
      <w:r>
        <w:t>Rétinopathie : ☐ Oui ☐ Non</w:t>
      </w:r>
    </w:p>
    <w:p w14:paraId="669CC836" w14:textId="77777777" w:rsidR="00502BB2" w:rsidRDefault="0069123E">
      <w:pPr>
        <w:pStyle w:val="ListParagraph"/>
        <w:numPr>
          <w:ilvl w:val="0"/>
          <w:numId w:val="31"/>
        </w:numPr>
      </w:pPr>
      <w:r>
        <w:t>Neuropathie : ☐ Oui ☐ Non</w:t>
      </w:r>
    </w:p>
    <w:p w14:paraId="27B9A3F3" w14:textId="77777777" w:rsidR="00502BB2" w:rsidRDefault="0069123E">
      <w:pPr>
        <w:pStyle w:val="ListParagraph"/>
        <w:numPr>
          <w:ilvl w:val="0"/>
          <w:numId w:val="31"/>
        </w:numPr>
      </w:pPr>
      <w:r>
        <w:t>Néphropathie : ☐ Oui ☐ Non</w:t>
      </w:r>
    </w:p>
    <w:p w14:paraId="17D35D13" w14:textId="77777777" w:rsidR="00502BB2" w:rsidRDefault="0069123E">
      <w:pPr>
        <w:pStyle w:val="ListParagraph"/>
        <w:numPr>
          <w:ilvl w:val="0"/>
          <w:numId w:val="31"/>
        </w:numPr>
      </w:pPr>
      <w:r>
        <w:t>Macro angiopathie : ☐ Oui ☐ Non</w:t>
      </w:r>
    </w:p>
    <w:p w14:paraId="22A6536F" w14:textId="77777777" w:rsidR="00502BB2" w:rsidRDefault="0069123E">
      <w:r>
        <w:pict w14:anchorId="549B710E">
          <v:rect id="_x0000_i1060" style="width:0;height:1.5pt" o:hralign="center" o:hrstd="t" o:hr="t" fillcolor="#a0a0a0" stroked="f"/>
        </w:pict>
      </w:r>
    </w:p>
    <w:p w14:paraId="61DB7F45" w14:textId="77777777" w:rsidR="00502BB2" w:rsidRDefault="0069123E">
      <w:pPr>
        <w:rPr>
          <w:b/>
          <w:bCs/>
        </w:rPr>
      </w:pPr>
      <w:r>
        <w:rPr>
          <w:b/>
          <w:bCs/>
        </w:rPr>
        <w:t>VIII</w:t>
      </w:r>
      <w:r>
        <w:t xml:space="preserve">. </w:t>
      </w:r>
      <w:r>
        <w:rPr>
          <w:b/>
          <w:bCs/>
        </w:rPr>
        <w:t>État psychique (2 dernières semaines)</w:t>
      </w:r>
    </w:p>
    <w:p w14:paraId="3CAE71E1" w14:textId="77777777" w:rsidR="00502BB2" w:rsidRDefault="0069123E">
      <w:pPr>
        <w:rPr>
          <w:b/>
          <w:bCs/>
        </w:rPr>
      </w:pPr>
      <w:r>
        <w:rPr>
          <w:b/>
          <w:bCs/>
        </w:rPr>
        <w:t>Au cours des deux dernières semaines, avez-vous présenté l’un des symptômes suivants : troubles de concentration ou de mémoire, confusion légère, somnolence inhabituelle, anxiété marquée, humeur dépressive, irritabilité ou état de stress chronique ?</w:t>
      </w:r>
    </w:p>
    <w:p w14:paraId="0B53893A" w14:textId="77777777" w:rsidR="00502BB2" w:rsidRDefault="0069123E">
      <w:r>
        <w:rPr>
          <w:b/>
          <w:bCs/>
        </w:rPr>
        <w:t>☐</w:t>
      </w:r>
      <w:r>
        <w:t xml:space="preserve"> Aucun</w:t>
      </w:r>
      <w:r>
        <w:br/>
        <w:t>☐ Oui, léger</w:t>
      </w:r>
      <w:r>
        <w:br/>
        <w:t>☐ Oui, modéré</w:t>
      </w:r>
      <w:r>
        <w:br/>
        <w:t>☐ Oui, sévère</w:t>
      </w:r>
    </w:p>
    <w:p w14:paraId="1EC42A4C" w14:textId="77777777" w:rsidR="00502BB2" w:rsidRDefault="0069123E">
      <w:r>
        <w:lastRenderedPageBreak/>
        <w:t>Début récent (&lt; 1 mois) : ☐ Oui ☐ Non</w:t>
      </w:r>
      <w:r>
        <w:br/>
        <w:t>Précisions : ______________________</w:t>
      </w:r>
    </w:p>
    <w:p w14:paraId="6697703C" w14:textId="77777777" w:rsidR="00502BB2" w:rsidRDefault="0069123E">
      <w:r>
        <w:pict w14:anchorId="6A4CFFD9">
          <v:rect id="_x0000_i1061" style="width:0;height:1.5pt" o:hralign="center" o:hrstd="t" o:hr="t" fillcolor="#a0a0a0" stroked="f"/>
        </w:pict>
      </w:r>
    </w:p>
    <w:p w14:paraId="5AB9AAB3" w14:textId="77777777" w:rsidR="00502BB2" w:rsidRDefault="00502BB2">
      <w:pPr>
        <w:jc w:val="center"/>
        <w:rPr>
          <w:b/>
          <w:bCs/>
        </w:rPr>
      </w:pPr>
    </w:p>
    <w:p w14:paraId="1FD68D5D" w14:textId="77777777" w:rsidR="00502BB2" w:rsidRDefault="0069123E">
      <w:pPr>
        <w:pStyle w:val="Heading2"/>
        <w:rPr>
          <w:rFonts w:asciiTheme="minorBidi" w:hAnsiTheme="minorBidi" w:cstheme="minorBidi"/>
          <w:b/>
          <w:bCs/>
          <w:color w:val="0D0D0D" w:themeColor="text1" w:themeTint="F2"/>
          <w:sz w:val="28"/>
          <w:szCs w:val="28"/>
        </w:rPr>
      </w:pPr>
      <w:bookmarkStart w:id="132" w:name="_Toc226577371"/>
      <w:r>
        <w:rPr>
          <w:rFonts w:asciiTheme="minorBidi" w:hAnsiTheme="minorBidi" w:cstheme="minorBidi"/>
          <w:b/>
          <w:bCs/>
          <w:color w:val="0D0D0D" w:themeColor="text1" w:themeTint="F2"/>
          <w:sz w:val="28"/>
          <w:szCs w:val="28"/>
        </w:rPr>
        <w:t>Annexe 3 :</w:t>
      </w:r>
      <w:bookmarkEnd w:id="132"/>
    </w:p>
    <w:p w14:paraId="04F9F7B0" w14:textId="57FDA195" w:rsidR="00502BB2" w:rsidRDefault="0069123E">
      <w:pPr>
        <w:pStyle w:val="Caption"/>
        <w:keepNext/>
        <w:rPr>
          <w:rFonts w:asciiTheme="minorBidi" w:hAnsiTheme="minorBidi"/>
          <w:sz w:val="24"/>
          <w:szCs w:val="24"/>
        </w:rPr>
      </w:pPr>
      <w:bookmarkStart w:id="133" w:name="_Toc226577305"/>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10</w:t>
      </w:r>
      <w:r>
        <w:rPr>
          <w:rFonts w:asciiTheme="minorBidi" w:hAnsiTheme="minorBidi"/>
          <w:b/>
          <w:bCs/>
          <w:sz w:val="24"/>
          <w:szCs w:val="24"/>
        </w:rPr>
        <w:fldChar w:fldCharType="end"/>
      </w:r>
      <w:r>
        <w:rPr>
          <w:rFonts w:asciiTheme="minorBidi" w:hAnsiTheme="minorBidi"/>
          <w:sz w:val="24"/>
          <w:szCs w:val="24"/>
        </w:rPr>
        <w:t xml:space="preserve"> : enquête par questionnaire</w:t>
      </w:r>
      <w:bookmarkEnd w:id="133"/>
    </w:p>
    <w:tbl>
      <w:tblPr>
        <w:tblW w:w="4883" w:type="dxa"/>
        <w:jc w:val="center"/>
        <w:tblCellMar>
          <w:left w:w="70" w:type="dxa"/>
          <w:right w:w="70" w:type="dxa"/>
        </w:tblCellMar>
        <w:tblLook w:val="04A0" w:firstRow="1" w:lastRow="0" w:firstColumn="1" w:lastColumn="0" w:noHBand="0" w:noVBand="1"/>
      </w:tblPr>
      <w:tblGrid>
        <w:gridCol w:w="1008"/>
        <w:gridCol w:w="960"/>
        <w:gridCol w:w="988"/>
        <w:gridCol w:w="896"/>
        <w:gridCol w:w="1107"/>
      </w:tblGrid>
      <w:tr w:rsidR="00502BB2" w14:paraId="312BD1C9" w14:textId="77777777">
        <w:trPr>
          <w:trHeight w:val="288"/>
          <w:jc w:val="center"/>
        </w:trPr>
        <w:tc>
          <w:tcPr>
            <w:tcW w:w="960" w:type="dxa"/>
            <w:vMerge w:val="restart"/>
            <w:tcBorders>
              <w:top w:val="nil"/>
              <w:left w:val="nil"/>
              <w:bottom w:val="nil"/>
              <w:right w:val="nil"/>
            </w:tcBorders>
            <w:noWrap/>
            <w:vAlign w:val="bottom"/>
          </w:tcPr>
          <w:p w14:paraId="049FD8AF"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Patients</w:t>
            </w:r>
          </w:p>
        </w:tc>
        <w:tc>
          <w:tcPr>
            <w:tcW w:w="960" w:type="dxa"/>
            <w:vMerge w:val="restart"/>
            <w:tcBorders>
              <w:top w:val="nil"/>
              <w:left w:val="nil"/>
              <w:bottom w:val="nil"/>
              <w:right w:val="nil"/>
            </w:tcBorders>
            <w:noWrap/>
            <w:vAlign w:val="bottom"/>
          </w:tcPr>
          <w:p w14:paraId="03485877"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État</w:t>
            </w:r>
          </w:p>
        </w:tc>
        <w:tc>
          <w:tcPr>
            <w:tcW w:w="960" w:type="dxa"/>
            <w:vMerge w:val="restart"/>
            <w:tcBorders>
              <w:top w:val="nil"/>
              <w:left w:val="nil"/>
              <w:bottom w:val="nil"/>
              <w:right w:val="nil"/>
            </w:tcBorders>
            <w:noWrap/>
            <w:vAlign w:val="bottom"/>
          </w:tcPr>
          <w:p w14:paraId="09768B20"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Service</w:t>
            </w:r>
          </w:p>
        </w:tc>
        <w:tc>
          <w:tcPr>
            <w:tcW w:w="2003" w:type="dxa"/>
            <w:gridSpan w:val="2"/>
            <w:tcBorders>
              <w:top w:val="nil"/>
              <w:left w:val="nil"/>
              <w:bottom w:val="nil"/>
              <w:right w:val="nil"/>
            </w:tcBorders>
            <w:shd w:val="clear" w:color="000000" w:fill="808080"/>
            <w:noWrap/>
            <w:vAlign w:val="bottom"/>
          </w:tcPr>
          <w:p w14:paraId="23C3FF74"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Données socio-démographiques</w:t>
            </w:r>
          </w:p>
        </w:tc>
      </w:tr>
      <w:tr w:rsidR="00502BB2" w14:paraId="77BAFC04" w14:textId="77777777">
        <w:trPr>
          <w:trHeight w:val="288"/>
          <w:jc w:val="center"/>
        </w:trPr>
        <w:tc>
          <w:tcPr>
            <w:tcW w:w="960" w:type="dxa"/>
            <w:vMerge/>
            <w:tcBorders>
              <w:top w:val="nil"/>
              <w:left w:val="nil"/>
              <w:bottom w:val="nil"/>
              <w:right w:val="nil"/>
            </w:tcBorders>
            <w:vAlign w:val="center"/>
          </w:tcPr>
          <w:p w14:paraId="791BCFA4" w14:textId="77777777" w:rsidR="00502BB2" w:rsidRDefault="00502BB2">
            <w:pPr>
              <w:spacing w:after="0" w:line="240" w:lineRule="auto"/>
              <w:rPr>
                <w:rFonts w:asciiTheme="minorBidi" w:eastAsia="Times New Roman" w:hAnsiTheme="minorBidi"/>
                <w:color w:val="000000"/>
                <w:kern w:val="0"/>
                <w:sz w:val="24"/>
                <w:szCs w:val="24"/>
                <w:lang w:eastAsia="fr-FR"/>
                <w14:ligatures w14:val="none"/>
              </w:rPr>
            </w:pPr>
          </w:p>
        </w:tc>
        <w:tc>
          <w:tcPr>
            <w:tcW w:w="960" w:type="dxa"/>
            <w:vMerge/>
            <w:tcBorders>
              <w:top w:val="nil"/>
              <w:left w:val="nil"/>
              <w:bottom w:val="nil"/>
              <w:right w:val="nil"/>
            </w:tcBorders>
            <w:vAlign w:val="center"/>
          </w:tcPr>
          <w:p w14:paraId="3AF9B0F1" w14:textId="77777777" w:rsidR="00502BB2" w:rsidRDefault="00502BB2">
            <w:pPr>
              <w:spacing w:after="0" w:line="240" w:lineRule="auto"/>
              <w:rPr>
                <w:rFonts w:asciiTheme="minorBidi" w:eastAsia="Times New Roman" w:hAnsiTheme="minorBidi"/>
                <w:color w:val="000000"/>
                <w:kern w:val="0"/>
                <w:sz w:val="24"/>
                <w:szCs w:val="24"/>
                <w:lang w:eastAsia="fr-FR"/>
                <w14:ligatures w14:val="none"/>
              </w:rPr>
            </w:pPr>
          </w:p>
        </w:tc>
        <w:tc>
          <w:tcPr>
            <w:tcW w:w="960" w:type="dxa"/>
            <w:vMerge/>
            <w:tcBorders>
              <w:top w:val="nil"/>
              <w:left w:val="nil"/>
              <w:bottom w:val="nil"/>
              <w:right w:val="nil"/>
            </w:tcBorders>
            <w:vAlign w:val="center"/>
          </w:tcPr>
          <w:p w14:paraId="1805CE11" w14:textId="77777777" w:rsidR="00502BB2" w:rsidRDefault="00502BB2">
            <w:pPr>
              <w:spacing w:after="0" w:line="240" w:lineRule="auto"/>
              <w:rPr>
                <w:rFonts w:asciiTheme="minorBidi" w:eastAsia="Times New Roman" w:hAnsiTheme="minorBidi"/>
                <w:color w:val="000000"/>
                <w:kern w:val="0"/>
                <w:sz w:val="24"/>
                <w:szCs w:val="24"/>
                <w:lang w:eastAsia="fr-FR"/>
                <w14:ligatures w14:val="none"/>
              </w:rPr>
            </w:pPr>
          </w:p>
        </w:tc>
        <w:tc>
          <w:tcPr>
            <w:tcW w:w="896" w:type="dxa"/>
            <w:tcBorders>
              <w:top w:val="nil"/>
              <w:left w:val="nil"/>
              <w:bottom w:val="nil"/>
              <w:right w:val="nil"/>
            </w:tcBorders>
            <w:shd w:val="clear" w:color="000000" w:fill="808080"/>
            <w:noWrap/>
            <w:vAlign w:val="bottom"/>
          </w:tcPr>
          <w:p w14:paraId="31BF24B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Age</w:t>
            </w:r>
          </w:p>
        </w:tc>
        <w:tc>
          <w:tcPr>
            <w:tcW w:w="1107" w:type="dxa"/>
            <w:tcBorders>
              <w:top w:val="nil"/>
              <w:left w:val="nil"/>
              <w:bottom w:val="nil"/>
              <w:right w:val="nil"/>
            </w:tcBorders>
            <w:shd w:val="clear" w:color="000000" w:fill="808080"/>
            <w:noWrap/>
            <w:vAlign w:val="bottom"/>
          </w:tcPr>
          <w:p w14:paraId="0CF03F5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Sexe</w:t>
            </w:r>
          </w:p>
        </w:tc>
      </w:tr>
      <w:tr w:rsidR="00502BB2" w14:paraId="591C8F2F" w14:textId="77777777">
        <w:trPr>
          <w:trHeight w:val="288"/>
          <w:jc w:val="center"/>
        </w:trPr>
        <w:tc>
          <w:tcPr>
            <w:tcW w:w="960" w:type="dxa"/>
            <w:tcBorders>
              <w:top w:val="nil"/>
              <w:left w:val="nil"/>
              <w:bottom w:val="nil"/>
              <w:right w:val="nil"/>
            </w:tcBorders>
            <w:noWrap/>
            <w:vAlign w:val="bottom"/>
          </w:tcPr>
          <w:p w14:paraId="5B63189E"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960" w:type="dxa"/>
            <w:tcBorders>
              <w:top w:val="nil"/>
              <w:left w:val="nil"/>
              <w:bottom w:val="nil"/>
              <w:right w:val="nil"/>
            </w:tcBorders>
            <w:noWrap/>
            <w:vAlign w:val="bottom"/>
          </w:tcPr>
          <w:p w14:paraId="03B4464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35F90CA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MI+Rea</w:t>
            </w:r>
          </w:p>
        </w:tc>
        <w:tc>
          <w:tcPr>
            <w:tcW w:w="896" w:type="dxa"/>
            <w:tcBorders>
              <w:top w:val="nil"/>
              <w:left w:val="nil"/>
              <w:bottom w:val="nil"/>
              <w:right w:val="nil"/>
            </w:tcBorders>
            <w:shd w:val="clear" w:color="000000" w:fill="808080"/>
            <w:noWrap/>
            <w:vAlign w:val="bottom"/>
          </w:tcPr>
          <w:p w14:paraId="2E681E7E"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22</w:t>
            </w:r>
          </w:p>
        </w:tc>
        <w:tc>
          <w:tcPr>
            <w:tcW w:w="1107" w:type="dxa"/>
            <w:tcBorders>
              <w:top w:val="nil"/>
              <w:left w:val="nil"/>
              <w:bottom w:val="nil"/>
              <w:right w:val="nil"/>
            </w:tcBorders>
            <w:shd w:val="clear" w:color="000000" w:fill="808080"/>
            <w:noWrap/>
            <w:vAlign w:val="bottom"/>
          </w:tcPr>
          <w:p w14:paraId="6B6692D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4E111357" w14:textId="77777777">
        <w:trPr>
          <w:trHeight w:val="288"/>
          <w:jc w:val="center"/>
        </w:trPr>
        <w:tc>
          <w:tcPr>
            <w:tcW w:w="960" w:type="dxa"/>
            <w:tcBorders>
              <w:top w:val="nil"/>
              <w:left w:val="nil"/>
              <w:bottom w:val="nil"/>
              <w:right w:val="nil"/>
            </w:tcBorders>
            <w:noWrap/>
            <w:vAlign w:val="bottom"/>
          </w:tcPr>
          <w:p w14:paraId="37ADDDC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960" w:type="dxa"/>
            <w:tcBorders>
              <w:top w:val="nil"/>
              <w:left w:val="nil"/>
              <w:bottom w:val="nil"/>
              <w:right w:val="nil"/>
            </w:tcBorders>
            <w:noWrap/>
            <w:vAlign w:val="bottom"/>
          </w:tcPr>
          <w:p w14:paraId="2421339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peu-c-c</w:t>
            </w:r>
          </w:p>
        </w:tc>
        <w:tc>
          <w:tcPr>
            <w:tcW w:w="960" w:type="dxa"/>
            <w:tcBorders>
              <w:top w:val="nil"/>
              <w:left w:val="nil"/>
              <w:bottom w:val="nil"/>
              <w:right w:val="nil"/>
            </w:tcBorders>
            <w:noWrap/>
            <w:vAlign w:val="bottom"/>
          </w:tcPr>
          <w:p w14:paraId="28C5191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Rea</w:t>
            </w:r>
          </w:p>
        </w:tc>
        <w:tc>
          <w:tcPr>
            <w:tcW w:w="896" w:type="dxa"/>
            <w:tcBorders>
              <w:top w:val="nil"/>
              <w:left w:val="nil"/>
              <w:bottom w:val="nil"/>
              <w:right w:val="nil"/>
            </w:tcBorders>
            <w:shd w:val="clear" w:color="000000" w:fill="808080"/>
            <w:noWrap/>
            <w:vAlign w:val="bottom"/>
          </w:tcPr>
          <w:p w14:paraId="2C5FB2FD"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75</w:t>
            </w:r>
          </w:p>
        </w:tc>
        <w:tc>
          <w:tcPr>
            <w:tcW w:w="1107" w:type="dxa"/>
            <w:tcBorders>
              <w:top w:val="nil"/>
              <w:left w:val="nil"/>
              <w:bottom w:val="nil"/>
              <w:right w:val="nil"/>
            </w:tcBorders>
            <w:shd w:val="clear" w:color="000000" w:fill="808080"/>
            <w:noWrap/>
            <w:vAlign w:val="bottom"/>
          </w:tcPr>
          <w:p w14:paraId="6E62598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722877EC" w14:textId="77777777">
        <w:trPr>
          <w:trHeight w:val="288"/>
          <w:jc w:val="center"/>
        </w:trPr>
        <w:tc>
          <w:tcPr>
            <w:tcW w:w="960" w:type="dxa"/>
            <w:tcBorders>
              <w:top w:val="nil"/>
              <w:left w:val="nil"/>
              <w:bottom w:val="nil"/>
              <w:right w:val="nil"/>
            </w:tcBorders>
            <w:noWrap/>
            <w:vAlign w:val="bottom"/>
          </w:tcPr>
          <w:p w14:paraId="001FCA2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3</w:t>
            </w:r>
          </w:p>
        </w:tc>
        <w:tc>
          <w:tcPr>
            <w:tcW w:w="960" w:type="dxa"/>
            <w:tcBorders>
              <w:top w:val="nil"/>
              <w:left w:val="nil"/>
              <w:bottom w:val="nil"/>
              <w:right w:val="nil"/>
            </w:tcBorders>
            <w:noWrap/>
            <w:vAlign w:val="bottom"/>
          </w:tcPr>
          <w:p w14:paraId="5E9AC99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733502D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Rea</w:t>
            </w:r>
          </w:p>
        </w:tc>
        <w:tc>
          <w:tcPr>
            <w:tcW w:w="896" w:type="dxa"/>
            <w:tcBorders>
              <w:top w:val="nil"/>
              <w:left w:val="nil"/>
              <w:bottom w:val="nil"/>
              <w:right w:val="nil"/>
            </w:tcBorders>
            <w:shd w:val="clear" w:color="000000" w:fill="808080"/>
            <w:noWrap/>
            <w:vAlign w:val="bottom"/>
          </w:tcPr>
          <w:p w14:paraId="53BA0D6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19</w:t>
            </w:r>
          </w:p>
        </w:tc>
        <w:tc>
          <w:tcPr>
            <w:tcW w:w="1107" w:type="dxa"/>
            <w:tcBorders>
              <w:top w:val="nil"/>
              <w:left w:val="nil"/>
              <w:bottom w:val="nil"/>
              <w:right w:val="nil"/>
            </w:tcBorders>
            <w:shd w:val="clear" w:color="000000" w:fill="808080"/>
            <w:noWrap/>
            <w:vAlign w:val="bottom"/>
          </w:tcPr>
          <w:p w14:paraId="23A0FD7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6B9036FB" w14:textId="77777777">
        <w:trPr>
          <w:trHeight w:val="288"/>
          <w:jc w:val="center"/>
        </w:trPr>
        <w:tc>
          <w:tcPr>
            <w:tcW w:w="960" w:type="dxa"/>
            <w:tcBorders>
              <w:top w:val="nil"/>
              <w:left w:val="nil"/>
              <w:bottom w:val="nil"/>
              <w:right w:val="nil"/>
            </w:tcBorders>
            <w:noWrap/>
            <w:vAlign w:val="bottom"/>
          </w:tcPr>
          <w:p w14:paraId="158D93B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w:t>
            </w:r>
          </w:p>
        </w:tc>
        <w:tc>
          <w:tcPr>
            <w:tcW w:w="960" w:type="dxa"/>
            <w:tcBorders>
              <w:top w:val="nil"/>
              <w:left w:val="nil"/>
              <w:bottom w:val="nil"/>
              <w:right w:val="nil"/>
            </w:tcBorders>
            <w:noWrap/>
            <w:vAlign w:val="bottom"/>
          </w:tcPr>
          <w:p w14:paraId="7367C9F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P-ic-nc</w:t>
            </w:r>
          </w:p>
        </w:tc>
        <w:tc>
          <w:tcPr>
            <w:tcW w:w="960" w:type="dxa"/>
            <w:tcBorders>
              <w:top w:val="nil"/>
              <w:left w:val="nil"/>
              <w:bottom w:val="nil"/>
              <w:right w:val="nil"/>
            </w:tcBorders>
            <w:noWrap/>
            <w:vAlign w:val="bottom"/>
          </w:tcPr>
          <w:p w14:paraId="6FBCBCD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Rea</w:t>
            </w:r>
          </w:p>
        </w:tc>
        <w:tc>
          <w:tcPr>
            <w:tcW w:w="896" w:type="dxa"/>
            <w:tcBorders>
              <w:top w:val="nil"/>
              <w:left w:val="nil"/>
              <w:bottom w:val="nil"/>
              <w:right w:val="nil"/>
            </w:tcBorders>
            <w:shd w:val="clear" w:color="000000" w:fill="808080"/>
            <w:noWrap/>
            <w:vAlign w:val="bottom"/>
          </w:tcPr>
          <w:p w14:paraId="36A533F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14</w:t>
            </w:r>
          </w:p>
        </w:tc>
        <w:tc>
          <w:tcPr>
            <w:tcW w:w="1107" w:type="dxa"/>
            <w:tcBorders>
              <w:top w:val="nil"/>
              <w:left w:val="nil"/>
              <w:bottom w:val="nil"/>
              <w:right w:val="nil"/>
            </w:tcBorders>
            <w:shd w:val="clear" w:color="000000" w:fill="808080"/>
            <w:noWrap/>
            <w:vAlign w:val="bottom"/>
          </w:tcPr>
          <w:p w14:paraId="7AC8271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61B764F0" w14:textId="77777777">
        <w:trPr>
          <w:trHeight w:val="288"/>
          <w:jc w:val="center"/>
        </w:trPr>
        <w:tc>
          <w:tcPr>
            <w:tcW w:w="960" w:type="dxa"/>
            <w:tcBorders>
              <w:top w:val="nil"/>
              <w:left w:val="nil"/>
              <w:bottom w:val="nil"/>
              <w:right w:val="nil"/>
            </w:tcBorders>
            <w:noWrap/>
            <w:vAlign w:val="bottom"/>
          </w:tcPr>
          <w:p w14:paraId="169A19D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5</w:t>
            </w:r>
          </w:p>
        </w:tc>
        <w:tc>
          <w:tcPr>
            <w:tcW w:w="960" w:type="dxa"/>
            <w:tcBorders>
              <w:top w:val="nil"/>
              <w:left w:val="nil"/>
              <w:bottom w:val="nil"/>
              <w:right w:val="nil"/>
            </w:tcBorders>
            <w:noWrap/>
            <w:vAlign w:val="bottom"/>
          </w:tcPr>
          <w:p w14:paraId="30DD50A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356BD57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Rea</w:t>
            </w:r>
          </w:p>
        </w:tc>
        <w:tc>
          <w:tcPr>
            <w:tcW w:w="896" w:type="dxa"/>
            <w:tcBorders>
              <w:top w:val="nil"/>
              <w:left w:val="nil"/>
              <w:bottom w:val="nil"/>
              <w:right w:val="nil"/>
            </w:tcBorders>
            <w:shd w:val="clear" w:color="000000" w:fill="808080"/>
            <w:noWrap/>
            <w:vAlign w:val="bottom"/>
          </w:tcPr>
          <w:p w14:paraId="04E8CB9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10</w:t>
            </w:r>
          </w:p>
        </w:tc>
        <w:tc>
          <w:tcPr>
            <w:tcW w:w="1107" w:type="dxa"/>
            <w:tcBorders>
              <w:top w:val="nil"/>
              <w:left w:val="nil"/>
              <w:bottom w:val="nil"/>
              <w:right w:val="nil"/>
            </w:tcBorders>
            <w:shd w:val="clear" w:color="000000" w:fill="808080"/>
            <w:noWrap/>
            <w:vAlign w:val="bottom"/>
          </w:tcPr>
          <w:p w14:paraId="71D70A6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296F57B7" w14:textId="77777777">
        <w:trPr>
          <w:trHeight w:val="288"/>
          <w:jc w:val="center"/>
        </w:trPr>
        <w:tc>
          <w:tcPr>
            <w:tcW w:w="960" w:type="dxa"/>
            <w:tcBorders>
              <w:top w:val="nil"/>
              <w:left w:val="nil"/>
              <w:bottom w:val="nil"/>
              <w:right w:val="nil"/>
            </w:tcBorders>
            <w:noWrap/>
            <w:vAlign w:val="bottom"/>
          </w:tcPr>
          <w:p w14:paraId="53A842B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6</w:t>
            </w:r>
          </w:p>
        </w:tc>
        <w:tc>
          <w:tcPr>
            <w:tcW w:w="960" w:type="dxa"/>
            <w:tcBorders>
              <w:top w:val="nil"/>
              <w:left w:val="nil"/>
              <w:bottom w:val="nil"/>
              <w:right w:val="nil"/>
            </w:tcBorders>
            <w:noWrap/>
            <w:vAlign w:val="bottom"/>
          </w:tcPr>
          <w:p w14:paraId="79139C0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0054971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48347D1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55</w:t>
            </w:r>
          </w:p>
        </w:tc>
        <w:tc>
          <w:tcPr>
            <w:tcW w:w="1107" w:type="dxa"/>
            <w:tcBorders>
              <w:top w:val="nil"/>
              <w:left w:val="nil"/>
              <w:bottom w:val="nil"/>
              <w:right w:val="nil"/>
            </w:tcBorders>
            <w:shd w:val="clear" w:color="000000" w:fill="808080"/>
            <w:noWrap/>
            <w:vAlign w:val="bottom"/>
          </w:tcPr>
          <w:p w14:paraId="20B0606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26BF0F75" w14:textId="77777777">
        <w:trPr>
          <w:trHeight w:val="288"/>
          <w:jc w:val="center"/>
        </w:trPr>
        <w:tc>
          <w:tcPr>
            <w:tcW w:w="960" w:type="dxa"/>
            <w:tcBorders>
              <w:top w:val="nil"/>
              <w:left w:val="nil"/>
              <w:bottom w:val="nil"/>
              <w:right w:val="nil"/>
            </w:tcBorders>
            <w:noWrap/>
            <w:vAlign w:val="bottom"/>
          </w:tcPr>
          <w:p w14:paraId="2F84CA78"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7</w:t>
            </w:r>
          </w:p>
        </w:tc>
        <w:tc>
          <w:tcPr>
            <w:tcW w:w="960" w:type="dxa"/>
            <w:tcBorders>
              <w:top w:val="nil"/>
              <w:left w:val="nil"/>
              <w:bottom w:val="nil"/>
              <w:right w:val="nil"/>
            </w:tcBorders>
            <w:noWrap/>
            <w:vAlign w:val="bottom"/>
          </w:tcPr>
          <w:p w14:paraId="14581FE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13CCD79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Rea</w:t>
            </w:r>
          </w:p>
        </w:tc>
        <w:tc>
          <w:tcPr>
            <w:tcW w:w="896" w:type="dxa"/>
            <w:tcBorders>
              <w:top w:val="nil"/>
              <w:left w:val="nil"/>
              <w:bottom w:val="nil"/>
              <w:right w:val="nil"/>
            </w:tcBorders>
            <w:shd w:val="clear" w:color="000000" w:fill="808080"/>
            <w:noWrap/>
            <w:vAlign w:val="bottom"/>
          </w:tcPr>
          <w:p w14:paraId="3478245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14</w:t>
            </w:r>
          </w:p>
        </w:tc>
        <w:tc>
          <w:tcPr>
            <w:tcW w:w="1107" w:type="dxa"/>
            <w:tcBorders>
              <w:top w:val="nil"/>
              <w:left w:val="nil"/>
              <w:bottom w:val="nil"/>
              <w:right w:val="nil"/>
            </w:tcBorders>
            <w:shd w:val="clear" w:color="000000" w:fill="808080"/>
            <w:noWrap/>
            <w:vAlign w:val="bottom"/>
          </w:tcPr>
          <w:p w14:paraId="0017A91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55B65597" w14:textId="77777777">
        <w:trPr>
          <w:trHeight w:val="288"/>
          <w:jc w:val="center"/>
        </w:trPr>
        <w:tc>
          <w:tcPr>
            <w:tcW w:w="960" w:type="dxa"/>
            <w:tcBorders>
              <w:top w:val="nil"/>
              <w:left w:val="nil"/>
              <w:bottom w:val="nil"/>
              <w:right w:val="nil"/>
            </w:tcBorders>
            <w:noWrap/>
            <w:vAlign w:val="bottom"/>
          </w:tcPr>
          <w:p w14:paraId="0AC0BA2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8</w:t>
            </w:r>
          </w:p>
        </w:tc>
        <w:tc>
          <w:tcPr>
            <w:tcW w:w="960" w:type="dxa"/>
            <w:tcBorders>
              <w:top w:val="nil"/>
              <w:left w:val="nil"/>
              <w:bottom w:val="nil"/>
              <w:right w:val="nil"/>
            </w:tcBorders>
            <w:noWrap/>
            <w:vAlign w:val="bottom"/>
          </w:tcPr>
          <w:p w14:paraId="1EB1FF3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2D99091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Rea</w:t>
            </w:r>
          </w:p>
        </w:tc>
        <w:tc>
          <w:tcPr>
            <w:tcW w:w="896" w:type="dxa"/>
            <w:tcBorders>
              <w:top w:val="nil"/>
              <w:left w:val="nil"/>
              <w:bottom w:val="nil"/>
              <w:right w:val="nil"/>
            </w:tcBorders>
            <w:shd w:val="clear" w:color="000000" w:fill="808080"/>
            <w:noWrap/>
            <w:vAlign w:val="bottom"/>
          </w:tcPr>
          <w:p w14:paraId="62FFB4D0"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74</w:t>
            </w:r>
          </w:p>
        </w:tc>
        <w:tc>
          <w:tcPr>
            <w:tcW w:w="1107" w:type="dxa"/>
            <w:tcBorders>
              <w:top w:val="nil"/>
              <w:left w:val="nil"/>
              <w:bottom w:val="nil"/>
              <w:right w:val="nil"/>
            </w:tcBorders>
            <w:shd w:val="clear" w:color="000000" w:fill="808080"/>
            <w:noWrap/>
            <w:vAlign w:val="bottom"/>
          </w:tcPr>
          <w:p w14:paraId="06C8858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675DEA04" w14:textId="77777777">
        <w:trPr>
          <w:trHeight w:val="288"/>
          <w:jc w:val="center"/>
        </w:trPr>
        <w:tc>
          <w:tcPr>
            <w:tcW w:w="960" w:type="dxa"/>
            <w:tcBorders>
              <w:top w:val="nil"/>
              <w:left w:val="nil"/>
              <w:bottom w:val="nil"/>
              <w:right w:val="nil"/>
            </w:tcBorders>
            <w:noWrap/>
            <w:vAlign w:val="bottom"/>
          </w:tcPr>
          <w:p w14:paraId="4EFE76BE"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9</w:t>
            </w:r>
          </w:p>
        </w:tc>
        <w:tc>
          <w:tcPr>
            <w:tcW w:w="960" w:type="dxa"/>
            <w:tcBorders>
              <w:top w:val="nil"/>
              <w:left w:val="nil"/>
              <w:bottom w:val="nil"/>
              <w:right w:val="nil"/>
            </w:tcBorders>
            <w:noWrap/>
            <w:vAlign w:val="bottom"/>
          </w:tcPr>
          <w:p w14:paraId="131E3EA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0A56482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MI+Rea</w:t>
            </w:r>
          </w:p>
        </w:tc>
        <w:tc>
          <w:tcPr>
            <w:tcW w:w="896" w:type="dxa"/>
            <w:tcBorders>
              <w:top w:val="nil"/>
              <w:left w:val="nil"/>
              <w:bottom w:val="nil"/>
              <w:right w:val="nil"/>
            </w:tcBorders>
            <w:shd w:val="clear" w:color="000000" w:fill="808080"/>
            <w:noWrap/>
            <w:vAlign w:val="bottom"/>
          </w:tcPr>
          <w:p w14:paraId="2B1B2F4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16</w:t>
            </w:r>
          </w:p>
        </w:tc>
        <w:tc>
          <w:tcPr>
            <w:tcW w:w="1107" w:type="dxa"/>
            <w:tcBorders>
              <w:top w:val="nil"/>
              <w:left w:val="nil"/>
              <w:bottom w:val="nil"/>
              <w:right w:val="nil"/>
            </w:tcBorders>
            <w:shd w:val="clear" w:color="000000" w:fill="808080"/>
            <w:noWrap/>
            <w:vAlign w:val="bottom"/>
          </w:tcPr>
          <w:p w14:paraId="4CF17D3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07872C9E" w14:textId="77777777">
        <w:trPr>
          <w:trHeight w:val="288"/>
          <w:jc w:val="center"/>
        </w:trPr>
        <w:tc>
          <w:tcPr>
            <w:tcW w:w="960" w:type="dxa"/>
            <w:tcBorders>
              <w:top w:val="nil"/>
              <w:left w:val="nil"/>
              <w:bottom w:val="nil"/>
              <w:right w:val="nil"/>
            </w:tcBorders>
            <w:noWrap/>
            <w:vAlign w:val="bottom"/>
          </w:tcPr>
          <w:p w14:paraId="18E79464"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10</w:t>
            </w:r>
          </w:p>
        </w:tc>
        <w:tc>
          <w:tcPr>
            <w:tcW w:w="960" w:type="dxa"/>
            <w:tcBorders>
              <w:top w:val="nil"/>
              <w:left w:val="nil"/>
              <w:bottom w:val="nil"/>
              <w:right w:val="nil"/>
            </w:tcBorders>
            <w:noWrap/>
            <w:vAlign w:val="bottom"/>
          </w:tcPr>
          <w:p w14:paraId="07347A4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0342AC6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2FDC223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52</w:t>
            </w:r>
          </w:p>
        </w:tc>
        <w:tc>
          <w:tcPr>
            <w:tcW w:w="1107" w:type="dxa"/>
            <w:tcBorders>
              <w:top w:val="nil"/>
              <w:left w:val="nil"/>
              <w:bottom w:val="nil"/>
              <w:right w:val="nil"/>
            </w:tcBorders>
            <w:shd w:val="clear" w:color="000000" w:fill="808080"/>
            <w:noWrap/>
            <w:vAlign w:val="bottom"/>
          </w:tcPr>
          <w:p w14:paraId="2B19601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6485AA46" w14:textId="77777777">
        <w:trPr>
          <w:trHeight w:val="288"/>
          <w:jc w:val="center"/>
        </w:trPr>
        <w:tc>
          <w:tcPr>
            <w:tcW w:w="960" w:type="dxa"/>
            <w:tcBorders>
              <w:top w:val="nil"/>
              <w:left w:val="nil"/>
              <w:bottom w:val="nil"/>
              <w:right w:val="nil"/>
            </w:tcBorders>
            <w:noWrap/>
            <w:vAlign w:val="bottom"/>
          </w:tcPr>
          <w:p w14:paraId="67C764F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11</w:t>
            </w:r>
          </w:p>
        </w:tc>
        <w:tc>
          <w:tcPr>
            <w:tcW w:w="960" w:type="dxa"/>
            <w:tcBorders>
              <w:top w:val="nil"/>
              <w:left w:val="nil"/>
              <w:bottom w:val="nil"/>
              <w:right w:val="nil"/>
            </w:tcBorders>
            <w:noWrap/>
            <w:vAlign w:val="bottom"/>
          </w:tcPr>
          <w:p w14:paraId="6779411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31C284F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0E72E1E1"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28</w:t>
            </w:r>
          </w:p>
        </w:tc>
        <w:tc>
          <w:tcPr>
            <w:tcW w:w="1107" w:type="dxa"/>
            <w:tcBorders>
              <w:top w:val="nil"/>
              <w:left w:val="nil"/>
              <w:bottom w:val="nil"/>
              <w:right w:val="nil"/>
            </w:tcBorders>
            <w:shd w:val="clear" w:color="000000" w:fill="808080"/>
            <w:noWrap/>
            <w:vAlign w:val="bottom"/>
          </w:tcPr>
          <w:p w14:paraId="68501D6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569B2DFD" w14:textId="77777777">
        <w:trPr>
          <w:trHeight w:val="288"/>
          <w:jc w:val="center"/>
        </w:trPr>
        <w:tc>
          <w:tcPr>
            <w:tcW w:w="960" w:type="dxa"/>
            <w:tcBorders>
              <w:top w:val="nil"/>
              <w:left w:val="nil"/>
              <w:bottom w:val="nil"/>
              <w:right w:val="nil"/>
            </w:tcBorders>
            <w:noWrap/>
            <w:vAlign w:val="bottom"/>
          </w:tcPr>
          <w:p w14:paraId="76E22ACD"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12</w:t>
            </w:r>
          </w:p>
        </w:tc>
        <w:tc>
          <w:tcPr>
            <w:tcW w:w="960" w:type="dxa"/>
            <w:tcBorders>
              <w:top w:val="nil"/>
              <w:left w:val="nil"/>
              <w:bottom w:val="nil"/>
              <w:right w:val="nil"/>
            </w:tcBorders>
            <w:noWrap/>
            <w:vAlign w:val="bottom"/>
          </w:tcPr>
          <w:p w14:paraId="5D90DF7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19DA1F7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5FF5F165"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43</w:t>
            </w:r>
          </w:p>
        </w:tc>
        <w:tc>
          <w:tcPr>
            <w:tcW w:w="1107" w:type="dxa"/>
            <w:tcBorders>
              <w:top w:val="nil"/>
              <w:left w:val="nil"/>
              <w:bottom w:val="nil"/>
              <w:right w:val="nil"/>
            </w:tcBorders>
            <w:shd w:val="clear" w:color="000000" w:fill="808080"/>
            <w:noWrap/>
            <w:vAlign w:val="bottom"/>
          </w:tcPr>
          <w:p w14:paraId="793A8F5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46F51D90" w14:textId="77777777">
        <w:trPr>
          <w:trHeight w:val="288"/>
          <w:jc w:val="center"/>
        </w:trPr>
        <w:tc>
          <w:tcPr>
            <w:tcW w:w="960" w:type="dxa"/>
            <w:tcBorders>
              <w:top w:val="nil"/>
              <w:left w:val="nil"/>
              <w:bottom w:val="nil"/>
              <w:right w:val="nil"/>
            </w:tcBorders>
            <w:noWrap/>
            <w:vAlign w:val="bottom"/>
          </w:tcPr>
          <w:p w14:paraId="1A403421"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13</w:t>
            </w:r>
          </w:p>
        </w:tc>
        <w:tc>
          <w:tcPr>
            <w:tcW w:w="960" w:type="dxa"/>
            <w:tcBorders>
              <w:top w:val="nil"/>
              <w:left w:val="nil"/>
              <w:bottom w:val="nil"/>
              <w:right w:val="nil"/>
            </w:tcBorders>
            <w:noWrap/>
            <w:vAlign w:val="bottom"/>
          </w:tcPr>
          <w:p w14:paraId="2C1C9B1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6075ED8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27258A9D"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32</w:t>
            </w:r>
          </w:p>
        </w:tc>
        <w:tc>
          <w:tcPr>
            <w:tcW w:w="1107" w:type="dxa"/>
            <w:tcBorders>
              <w:top w:val="nil"/>
              <w:left w:val="nil"/>
              <w:bottom w:val="nil"/>
              <w:right w:val="nil"/>
            </w:tcBorders>
            <w:shd w:val="clear" w:color="000000" w:fill="808080"/>
            <w:noWrap/>
            <w:vAlign w:val="bottom"/>
          </w:tcPr>
          <w:p w14:paraId="6643829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36A415D5" w14:textId="77777777">
        <w:trPr>
          <w:trHeight w:val="288"/>
          <w:jc w:val="center"/>
        </w:trPr>
        <w:tc>
          <w:tcPr>
            <w:tcW w:w="960" w:type="dxa"/>
            <w:tcBorders>
              <w:top w:val="nil"/>
              <w:left w:val="nil"/>
              <w:bottom w:val="nil"/>
              <w:right w:val="nil"/>
            </w:tcBorders>
            <w:noWrap/>
            <w:vAlign w:val="bottom"/>
          </w:tcPr>
          <w:p w14:paraId="447C0730"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14</w:t>
            </w:r>
          </w:p>
        </w:tc>
        <w:tc>
          <w:tcPr>
            <w:tcW w:w="960" w:type="dxa"/>
            <w:tcBorders>
              <w:top w:val="nil"/>
              <w:left w:val="nil"/>
              <w:bottom w:val="nil"/>
              <w:right w:val="nil"/>
            </w:tcBorders>
            <w:noWrap/>
            <w:vAlign w:val="bottom"/>
          </w:tcPr>
          <w:p w14:paraId="652C892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7896EA1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509F92C1"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55</w:t>
            </w:r>
          </w:p>
        </w:tc>
        <w:tc>
          <w:tcPr>
            <w:tcW w:w="1107" w:type="dxa"/>
            <w:tcBorders>
              <w:top w:val="nil"/>
              <w:left w:val="nil"/>
              <w:bottom w:val="nil"/>
              <w:right w:val="nil"/>
            </w:tcBorders>
            <w:shd w:val="clear" w:color="000000" w:fill="808080"/>
            <w:noWrap/>
            <w:vAlign w:val="bottom"/>
          </w:tcPr>
          <w:p w14:paraId="14CDCFA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73BFD4CD" w14:textId="77777777">
        <w:trPr>
          <w:trHeight w:val="288"/>
          <w:jc w:val="center"/>
        </w:trPr>
        <w:tc>
          <w:tcPr>
            <w:tcW w:w="960" w:type="dxa"/>
            <w:tcBorders>
              <w:top w:val="nil"/>
              <w:left w:val="nil"/>
              <w:bottom w:val="nil"/>
              <w:right w:val="nil"/>
            </w:tcBorders>
            <w:noWrap/>
            <w:vAlign w:val="bottom"/>
          </w:tcPr>
          <w:p w14:paraId="4FE64FE3"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15</w:t>
            </w:r>
          </w:p>
        </w:tc>
        <w:tc>
          <w:tcPr>
            <w:tcW w:w="960" w:type="dxa"/>
            <w:tcBorders>
              <w:top w:val="nil"/>
              <w:left w:val="nil"/>
              <w:bottom w:val="nil"/>
              <w:right w:val="nil"/>
            </w:tcBorders>
            <w:noWrap/>
            <w:vAlign w:val="bottom"/>
          </w:tcPr>
          <w:p w14:paraId="5193AA8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2902E36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6EDB9E44"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41</w:t>
            </w:r>
          </w:p>
        </w:tc>
        <w:tc>
          <w:tcPr>
            <w:tcW w:w="1107" w:type="dxa"/>
            <w:tcBorders>
              <w:top w:val="nil"/>
              <w:left w:val="nil"/>
              <w:bottom w:val="nil"/>
              <w:right w:val="nil"/>
            </w:tcBorders>
            <w:shd w:val="clear" w:color="000000" w:fill="808080"/>
            <w:noWrap/>
            <w:vAlign w:val="bottom"/>
          </w:tcPr>
          <w:p w14:paraId="7A53967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521DD333" w14:textId="77777777">
        <w:trPr>
          <w:trHeight w:val="288"/>
          <w:jc w:val="center"/>
        </w:trPr>
        <w:tc>
          <w:tcPr>
            <w:tcW w:w="960" w:type="dxa"/>
            <w:tcBorders>
              <w:top w:val="nil"/>
              <w:left w:val="nil"/>
              <w:bottom w:val="nil"/>
              <w:right w:val="nil"/>
            </w:tcBorders>
            <w:noWrap/>
            <w:vAlign w:val="bottom"/>
          </w:tcPr>
          <w:p w14:paraId="2153B5A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16</w:t>
            </w:r>
          </w:p>
        </w:tc>
        <w:tc>
          <w:tcPr>
            <w:tcW w:w="960" w:type="dxa"/>
            <w:tcBorders>
              <w:top w:val="nil"/>
              <w:left w:val="nil"/>
              <w:bottom w:val="nil"/>
              <w:right w:val="nil"/>
            </w:tcBorders>
            <w:noWrap/>
            <w:vAlign w:val="bottom"/>
          </w:tcPr>
          <w:p w14:paraId="236BD6C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7B1A67D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3F0F09CF"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22</w:t>
            </w:r>
          </w:p>
        </w:tc>
        <w:tc>
          <w:tcPr>
            <w:tcW w:w="1107" w:type="dxa"/>
            <w:tcBorders>
              <w:top w:val="nil"/>
              <w:left w:val="nil"/>
              <w:bottom w:val="nil"/>
              <w:right w:val="nil"/>
            </w:tcBorders>
            <w:shd w:val="clear" w:color="000000" w:fill="808080"/>
            <w:noWrap/>
            <w:vAlign w:val="bottom"/>
          </w:tcPr>
          <w:p w14:paraId="3EF82E8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43028934" w14:textId="77777777">
        <w:trPr>
          <w:trHeight w:val="288"/>
          <w:jc w:val="center"/>
        </w:trPr>
        <w:tc>
          <w:tcPr>
            <w:tcW w:w="960" w:type="dxa"/>
            <w:tcBorders>
              <w:top w:val="nil"/>
              <w:left w:val="nil"/>
              <w:bottom w:val="nil"/>
              <w:right w:val="nil"/>
            </w:tcBorders>
            <w:noWrap/>
            <w:vAlign w:val="bottom"/>
          </w:tcPr>
          <w:p w14:paraId="5D3C236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17</w:t>
            </w:r>
          </w:p>
        </w:tc>
        <w:tc>
          <w:tcPr>
            <w:tcW w:w="960" w:type="dxa"/>
            <w:tcBorders>
              <w:top w:val="nil"/>
              <w:left w:val="nil"/>
              <w:bottom w:val="nil"/>
              <w:right w:val="nil"/>
            </w:tcBorders>
            <w:noWrap/>
            <w:vAlign w:val="bottom"/>
          </w:tcPr>
          <w:p w14:paraId="67279C2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759F888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0445412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58</w:t>
            </w:r>
          </w:p>
        </w:tc>
        <w:tc>
          <w:tcPr>
            <w:tcW w:w="1107" w:type="dxa"/>
            <w:tcBorders>
              <w:top w:val="nil"/>
              <w:left w:val="nil"/>
              <w:bottom w:val="nil"/>
              <w:right w:val="nil"/>
            </w:tcBorders>
            <w:shd w:val="clear" w:color="000000" w:fill="808080"/>
            <w:noWrap/>
            <w:vAlign w:val="bottom"/>
          </w:tcPr>
          <w:p w14:paraId="6FE1C2F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5563716C" w14:textId="77777777">
        <w:trPr>
          <w:trHeight w:val="288"/>
          <w:jc w:val="center"/>
        </w:trPr>
        <w:tc>
          <w:tcPr>
            <w:tcW w:w="960" w:type="dxa"/>
            <w:tcBorders>
              <w:top w:val="nil"/>
              <w:left w:val="nil"/>
              <w:bottom w:val="nil"/>
              <w:right w:val="nil"/>
            </w:tcBorders>
            <w:noWrap/>
            <w:vAlign w:val="bottom"/>
          </w:tcPr>
          <w:p w14:paraId="53565E5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18</w:t>
            </w:r>
          </w:p>
        </w:tc>
        <w:tc>
          <w:tcPr>
            <w:tcW w:w="960" w:type="dxa"/>
            <w:tcBorders>
              <w:top w:val="nil"/>
              <w:left w:val="nil"/>
              <w:bottom w:val="nil"/>
              <w:right w:val="nil"/>
            </w:tcBorders>
            <w:noWrap/>
            <w:vAlign w:val="bottom"/>
          </w:tcPr>
          <w:p w14:paraId="336E104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2072C05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6D48C56E"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43</w:t>
            </w:r>
          </w:p>
        </w:tc>
        <w:tc>
          <w:tcPr>
            <w:tcW w:w="1107" w:type="dxa"/>
            <w:tcBorders>
              <w:top w:val="nil"/>
              <w:left w:val="nil"/>
              <w:bottom w:val="nil"/>
              <w:right w:val="nil"/>
            </w:tcBorders>
            <w:shd w:val="clear" w:color="000000" w:fill="808080"/>
            <w:noWrap/>
            <w:vAlign w:val="bottom"/>
          </w:tcPr>
          <w:p w14:paraId="1BCAFD4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6BC1C44E" w14:textId="77777777">
        <w:trPr>
          <w:trHeight w:val="288"/>
          <w:jc w:val="center"/>
        </w:trPr>
        <w:tc>
          <w:tcPr>
            <w:tcW w:w="960" w:type="dxa"/>
            <w:tcBorders>
              <w:top w:val="nil"/>
              <w:left w:val="nil"/>
              <w:bottom w:val="nil"/>
              <w:right w:val="nil"/>
            </w:tcBorders>
            <w:noWrap/>
            <w:vAlign w:val="bottom"/>
          </w:tcPr>
          <w:p w14:paraId="630313E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19</w:t>
            </w:r>
          </w:p>
        </w:tc>
        <w:tc>
          <w:tcPr>
            <w:tcW w:w="960" w:type="dxa"/>
            <w:tcBorders>
              <w:top w:val="nil"/>
              <w:left w:val="nil"/>
              <w:bottom w:val="nil"/>
              <w:right w:val="nil"/>
            </w:tcBorders>
            <w:noWrap/>
            <w:vAlign w:val="bottom"/>
          </w:tcPr>
          <w:p w14:paraId="081F4C5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33BFE9F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647F6C1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68</w:t>
            </w:r>
          </w:p>
        </w:tc>
        <w:tc>
          <w:tcPr>
            <w:tcW w:w="1107" w:type="dxa"/>
            <w:tcBorders>
              <w:top w:val="nil"/>
              <w:left w:val="nil"/>
              <w:bottom w:val="nil"/>
              <w:right w:val="nil"/>
            </w:tcBorders>
            <w:shd w:val="clear" w:color="000000" w:fill="808080"/>
            <w:noWrap/>
            <w:vAlign w:val="bottom"/>
          </w:tcPr>
          <w:p w14:paraId="0762938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4004D50F" w14:textId="77777777">
        <w:trPr>
          <w:trHeight w:val="288"/>
          <w:jc w:val="center"/>
        </w:trPr>
        <w:tc>
          <w:tcPr>
            <w:tcW w:w="960" w:type="dxa"/>
            <w:tcBorders>
              <w:top w:val="nil"/>
              <w:left w:val="nil"/>
              <w:bottom w:val="nil"/>
              <w:right w:val="nil"/>
            </w:tcBorders>
            <w:noWrap/>
            <w:vAlign w:val="bottom"/>
          </w:tcPr>
          <w:p w14:paraId="0394DBA0"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20</w:t>
            </w:r>
          </w:p>
        </w:tc>
        <w:tc>
          <w:tcPr>
            <w:tcW w:w="960" w:type="dxa"/>
            <w:tcBorders>
              <w:top w:val="nil"/>
              <w:left w:val="nil"/>
              <w:bottom w:val="nil"/>
              <w:right w:val="nil"/>
            </w:tcBorders>
            <w:noWrap/>
            <w:vAlign w:val="bottom"/>
          </w:tcPr>
          <w:p w14:paraId="00BA433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04B0A63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07E63A2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22</w:t>
            </w:r>
          </w:p>
        </w:tc>
        <w:tc>
          <w:tcPr>
            <w:tcW w:w="1107" w:type="dxa"/>
            <w:tcBorders>
              <w:top w:val="nil"/>
              <w:left w:val="nil"/>
              <w:bottom w:val="nil"/>
              <w:right w:val="nil"/>
            </w:tcBorders>
            <w:shd w:val="clear" w:color="000000" w:fill="808080"/>
            <w:noWrap/>
            <w:vAlign w:val="bottom"/>
          </w:tcPr>
          <w:p w14:paraId="265257F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68EC47ED" w14:textId="77777777">
        <w:trPr>
          <w:trHeight w:val="288"/>
          <w:jc w:val="center"/>
        </w:trPr>
        <w:tc>
          <w:tcPr>
            <w:tcW w:w="960" w:type="dxa"/>
            <w:tcBorders>
              <w:top w:val="nil"/>
              <w:left w:val="nil"/>
              <w:bottom w:val="nil"/>
              <w:right w:val="nil"/>
            </w:tcBorders>
            <w:noWrap/>
            <w:vAlign w:val="bottom"/>
          </w:tcPr>
          <w:p w14:paraId="146E6CF4"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21</w:t>
            </w:r>
          </w:p>
        </w:tc>
        <w:tc>
          <w:tcPr>
            <w:tcW w:w="960" w:type="dxa"/>
            <w:tcBorders>
              <w:top w:val="nil"/>
              <w:left w:val="nil"/>
              <w:bottom w:val="nil"/>
              <w:right w:val="nil"/>
            </w:tcBorders>
            <w:noWrap/>
            <w:vAlign w:val="bottom"/>
          </w:tcPr>
          <w:p w14:paraId="6B56919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731B926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03CDAB08"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16</w:t>
            </w:r>
          </w:p>
        </w:tc>
        <w:tc>
          <w:tcPr>
            <w:tcW w:w="1107" w:type="dxa"/>
            <w:tcBorders>
              <w:top w:val="nil"/>
              <w:left w:val="nil"/>
              <w:bottom w:val="nil"/>
              <w:right w:val="nil"/>
            </w:tcBorders>
            <w:shd w:val="clear" w:color="000000" w:fill="808080"/>
            <w:noWrap/>
            <w:vAlign w:val="bottom"/>
          </w:tcPr>
          <w:p w14:paraId="04270B6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01F95030" w14:textId="77777777">
        <w:trPr>
          <w:trHeight w:val="288"/>
          <w:jc w:val="center"/>
        </w:trPr>
        <w:tc>
          <w:tcPr>
            <w:tcW w:w="960" w:type="dxa"/>
            <w:tcBorders>
              <w:top w:val="nil"/>
              <w:left w:val="nil"/>
              <w:bottom w:val="nil"/>
              <w:right w:val="nil"/>
            </w:tcBorders>
            <w:noWrap/>
            <w:vAlign w:val="bottom"/>
          </w:tcPr>
          <w:p w14:paraId="4B90381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22</w:t>
            </w:r>
          </w:p>
        </w:tc>
        <w:tc>
          <w:tcPr>
            <w:tcW w:w="960" w:type="dxa"/>
            <w:tcBorders>
              <w:top w:val="nil"/>
              <w:left w:val="nil"/>
              <w:bottom w:val="nil"/>
              <w:right w:val="nil"/>
            </w:tcBorders>
            <w:noWrap/>
            <w:vAlign w:val="bottom"/>
          </w:tcPr>
          <w:p w14:paraId="76C3F6B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56DD6F3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0800D153"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42</w:t>
            </w:r>
          </w:p>
        </w:tc>
        <w:tc>
          <w:tcPr>
            <w:tcW w:w="1107" w:type="dxa"/>
            <w:tcBorders>
              <w:top w:val="nil"/>
              <w:left w:val="nil"/>
              <w:bottom w:val="nil"/>
              <w:right w:val="nil"/>
            </w:tcBorders>
            <w:shd w:val="clear" w:color="000000" w:fill="808080"/>
            <w:noWrap/>
            <w:vAlign w:val="bottom"/>
          </w:tcPr>
          <w:p w14:paraId="226B1B0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06614C2D" w14:textId="77777777">
        <w:trPr>
          <w:trHeight w:val="288"/>
          <w:jc w:val="center"/>
        </w:trPr>
        <w:tc>
          <w:tcPr>
            <w:tcW w:w="960" w:type="dxa"/>
            <w:tcBorders>
              <w:top w:val="nil"/>
              <w:left w:val="nil"/>
              <w:bottom w:val="nil"/>
              <w:right w:val="nil"/>
            </w:tcBorders>
            <w:noWrap/>
            <w:vAlign w:val="bottom"/>
          </w:tcPr>
          <w:p w14:paraId="5485F71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23</w:t>
            </w:r>
          </w:p>
        </w:tc>
        <w:tc>
          <w:tcPr>
            <w:tcW w:w="960" w:type="dxa"/>
            <w:tcBorders>
              <w:top w:val="nil"/>
              <w:left w:val="nil"/>
              <w:bottom w:val="nil"/>
              <w:right w:val="nil"/>
            </w:tcBorders>
            <w:noWrap/>
            <w:vAlign w:val="bottom"/>
          </w:tcPr>
          <w:p w14:paraId="3264E2E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6362B06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5C176259"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61</w:t>
            </w:r>
          </w:p>
        </w:tc>
        <w:tc>
          <w:tcPr>
            <w:tcW w:w="1107" w:type="dxa"/>
            <w:tcBorders>
              <w:top w:val="nil"/>
              <w:left w:val="nil"/>
              <w:bottom w:val="nil"/>
              <w:right w:val="nil"/>
            </w:tcBorders>
            <w:shd w:val="clear" w:color="000000" w:fill="808080"/>
            <w:noWrap/>
            <w:vAlign w:val="bottom"/>
          </w:tcPr>
          <w:p w14:paraId="0824C9E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551F6310" w14:textId="77777777">
        <w:trPr>
          <w:trHeight w:val="288"/>
          <w:jc w:val="center"/>
        </w:trPr>
        <w:tc>
          <w:tcPr>
            <w:tcW w:w="960" w:type="dxa"/>
            <w:tcBorders>
              <w:top w:val="nil"/>
              <w:left w:val="nil"/>
              <w:bottom w:val="nil"/>
              <w:right w:val="nil"/>
            </w:tcBorders>
            <w:noWrap/>
            <w:vAlign w:val="bottom"/>
          </w:tcPr>
          <w:p w14:paraId="5DB41DD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24</w:t>
            </w:r>
          </w:p>
        </w:tc>
        <w:tc>
          <w:tcPr>
            <w:tcW w:w="960" w:type="dxa"/>
            <w:tcBorders>
              <w:top w:val="nil"/>
              <w:left w:val="nil"/>
              <w:bottom w:val="nil"/>
              <w:right w:val="nil"/>
            </w:tcBorders>
            <w:noWrap/>
            <w:vAlign w:val="bottom"/>
          </w:tcPr>
          <w:p w14:paraId="61EA4DA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74B1B32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6032641D"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49</w:t>
            </w:r>
          </w:p>
        </w:tc>
        <w:tc>
          <w:tcPr>
            <w:tcW w:w="1107" w:type="dxa"/>
            <w:tcBorders>
              <w:top w:val="nil"/>
              <w:left w:val="nil"/>
              <w:bottom w:val="nil"/>
              <w:right w:val="nil"/>
            </w:tcBorders>
            <w:shd w:val="clear" w:color="000000" w:fill="808080"/>
            <w:noWrap/>
            <w:vAlign w:val="bottom"/>
          </w:tcPr>
          <w:p w14:paraId="0837861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0CB71F98" w14:textId="77777777">
        <w:trPr>
          <w:trHeight w:val="288"/>
          <w:jc w:val="center"/>
        </w:trPr>
        <w:tc>
          <w:tcPr>
            <w:tcW w:w="960" w:type="dxa"/>
            <w:tcBorders>
              <w:top w:val="nil"/>
              <w:left w:val="nil"/>
              <w:bottom w:val="nil"/>
              <w:right w:val="nil"/>
            </w:tcBorders>
            <w:noWrap/>
            <w:vAlign w:val="bottom"/>
          </w:tcPr>
          <w:p w14:paraId="302846B0"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25</w:t>
            </w:r>
          </w:p>
        </w:tc>
        <w:tc>
          <w:tcPr>
            <w:tcW w:w="960" w:type="dxa"/>
            <w:tcBorders>
              <w:top w:val="nil"/>
              <w:left w:val="nil"/>
              <w:bottom w:val="nil"/>
              <w:right w:val="nil"/>
            </w:tcBorders>
            <w:noWrap/>
            <w:vAlign w:val="bottom"/>
          </w:tcPr>
          <w:p w14:paraId="142C9AA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0E36459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MI+Rea</w:t>
            </w:r>
          </w:p>
        </w:tc>
        <w:tc>
          <w:tcPr>
            <w:tcW w:w="896" w:type="dxa"/>
            <w:tcBorders>
              <w:top w:val="nil"/>
              <w:left w:val="nil"/>
              <w:bottom w:val="nil"/>
              <w:right w:val="nil"/>
            </w:tcBorders>
            <w:shd w:val="clear" w:color="000000" w:fill="808080"/>
            <w:noWrap/>
            <w:vAlign w:val="bottom"/>
          </w:tcPr>
          <w:p w14:paraId="5318D041"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19</w:t>
            </w:r>
          </w:p>
        </w:tc>
        <w:tc>
          <w:tcPr>
            <w:tcW w:w="1107" w:type="dxa"/>
            <w:tcBorders>
              <w:top w:val="nil"/>
              <w:left w:val="nil"/>
              <w:bottom w:val="nil"/>
              <w:right w:val="nil"/>
            </w:tcBorders>
            <w:shd w:val="clear" w:color="000000" w:fill="808080"/>
            <w:noWrap/>
            <w:vAlign w:val="bottom"/>
          </w:tcPr>
          <w:p w14:paraId="79FA270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19442863" w14:textId="77777777">
        <w:trPr>
          <w:trHeight w:val="288"/>
          <w:jc w:val="center"/>
        </w:trPr>
        <w:tc>
          <w:tcPr>
            <w:tcW w:w="960" w:type="dxa"/>
            <w:tcBorders>
              <w:top w:val="nil"/>
              <w:left w:val="nil"/>
              <w:bottom w:val="nil"/>
              <w:right w:val="nil"/>
            </w:tcBorders>
            <w:noWrap/>
            <w:vAlign w:val="bottom"/>
          </w:tcPr>
          <w:p w14:paraId="6843AF9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26</w:t>
            </w:r>
          </w:p>
        </w:tc>
        <w:tc>
          <w:tcPr>
            <w:tcW w:w="960" w:type="dxa"/>
            <w:tcBorders>
              <w:top w:val="nil"/>
              <w:left w:val="nil"/>
              <w:bottom w:val="nil"/>
              <w:right w:val="nil"/>
            </w:tcBorders>
            <w:noWrap/>
            <w:vAlign w:val="bottom"/>
          </w:tcPr>
          <w:p w14:paraId="07B4BFA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3C29243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115E19F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43</w:t>
            </w:r>
          </w:p>
        </w:tc>
        <w:tc>
          <w:tcPr>
            <w:tcW w:w="1107" w:type="dxa"/>
            <w:tcBorders>
              <w:top w:val="nil"/>
              <w:left w:val="nil"/>
              <w:bottom w:val="nil"/>
              <w:right w:val="nil"/>
            </w:tcBorders>
            <w:shd w:val="clear" w:color="000000" w:fill="808080"/>
            <w:noWrap/>
            <w:vAlign w:val="bottom"/>
          </w:tcPr>
          <w:p w14:paraId="6216A1A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7B8B9C6D" w14:textId="77777777">
        <w:trPr>
          <w:trHeight w:val="288"/>
          <w:jc w:val="center"/>
        </w:trPr>
        <w:tc>
          <w:tcPr>
            <w:tcW w:w="960" w:type="dxa"/>
            <w:tcBorders>
              <w:top w:val="nil"/>
              <w:left w:val="nil"/>
              <w:bottom w:val="nil"/>
              <w:right w:val="nil"/>
            </w:tcBorders>
            <w:noWrap/>
            <w:vAlign w:val="bottom"/>
          </w:tcPr>
          <w:p w14:paraId="66CE119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27</w:t>
            </w:r>
          </w:p>
        </w:tc>
        <w:tc>
          <w:tcPr>
            <w:tcW w:w="960" w:type="dxa"/>
            <w:tcBorders>
              <w:top w:val="nil"/>
              <w:left w:val="nil"/>
              <w:bottom w:val="nil"/>
              <w:right w:val="nil"/>
            </w:tcBorders>
            <w:noWrap/>
            <w:vAlign w:val="bottom"/>
          </w:tcPr>
          <w:p w14:paraId="0A85AD7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455C7F6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088F7B3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56</w:t>
            </w:r>
          </w:p>
        </w:tc>
        <w:tc>
          <w:tcPr>
            <w:tcW w:w="1107" w:type="dxa"/>
            <w:tcBorders>
              <w:top w:val="nil"/>
              <w:left w:val="nil"/>
              <w:bottom w:val="nil"/>
              <w:right w:val="nil"/>
            </w:tcBorders>
            <w:shd w:val="clear" w:color="000000" w:fill="808080"/>
            <w:noWrap/>
            <w:vAlign w:val="bottom"/>
          </w:tcPr>
          <w:p w14:paraId="0376B1B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2C65A5B0" w14:textId="77777777">
        <w:trPr>
          <w:trHeight w:val="288"/>
          <w:jc w:val="center"/>
        </w:trPr>
        <w:tc>
          <w:tcPr>
            <w:tcW w:w="960" w:type="dxa"/>
            <w:tcBorders>
              <w:top w:val="nil"/>
              <w:left w:val="nil"/>
              <w:bottom w:val="nil"/>
              <w:right w:val="nil"/>
            </w:tcBorders>
            <w:noWrap/>
            <w:vAlign w:val="bottom"/>
          </w:tcPr>
          <w:p w14:paraId="35FD0C9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28</w:t>
            </w:r>
          </w:p>
        </w:tc>
        <w:tc>
          <w:tcPr>
            <w:tcW w:w="960" w:type="dxa"/>
            <w:tcBorders>
              <w:top w:val="nil"/>
              <w:left w:val="nil"/>
              <w:bottom w:val="nil"/>
              <w:right w:val="nil"/>
            </w:tcBorders>
            <w:noWrap/>
            <w:vAlign w:val="bottom"/>
          </w:tcPr>
          <w:p w14:paraId="47D8D49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6460BFF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6EB0F3B1"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43</w:t>
            </w:r>
          </w:p>
        </w:tc>
        <w:tc>
          <w:tcPr>
            <w:tcW w:w="1107" w:type="dxa"/>
            <w:tcBorders>
              <w:top w:val="nil"/>
              <w:left w:val="nil"/>
              <w:bottom w:val="nil"/>
              <w:right w:val="nil"/>
            </w:tcBorders>
            <w:shd w:val="clear" w:color="000000" w:fill="808080"/>
            <w:noWrap/>
            <w:vAlign w:val="bottom"/>
          </w:tcPr>
          <w:p w14:paraId="1581B76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F</w:t>
            </w:r>
          </w:p>
        </w:tc>
      </w:tr>
      <w:tr w:rsidR="00502BB2" w14:paraId="167093AD" w14:textId="77777777">
        <w:trPr>
          <w:trHeight w:val="288"/>
          <w:jc w:val="center"/>
        </w:trPr>
        <w:tc>
          <w:tcPr>
            <w:tcW w:w="960" w:type="dxa"/>
            <w:tcBorders>
              <w:top w:val="nil"/>
              <w:left w:val="nil"/>
              <w:bottom w:val="nil"/>
              <w:right w:val="nil"/>
            </w:tcBorders>
            <w:noWrap/>
            <w:vAlign w:val="bottom"/>
          </w:tcPr>
          <w:p w14:paraId="52921E6A"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29</w:t>
            </w:r>
          </w:p>
        </w:tc>
        <w:tc>
          <w:tcPr>
            <w:tcW w:w="960" w:type="dxa"/>
            <w:tcBorders>
              <w:top w:val="nil"/>
              <w:left w:val="nil"/>
              <w:bottom w:val="nil"/>
              <w:right w:val="nil"/>
            </w:tcBorders>
            <w:noWrap/>
            <w:vAlign w:val="bottom"/>
          </w:tcPr>
          <w:p w14:paraId="4AA59B4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4E43CE2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1A48D808"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23</w:t>
            </w:r>
          </w:p>
        </w:tc>
        <w:tc>
          <w:tcPr>
            <w:tcW w:w="1107" w:type="dxa"/>
            <w:tcBorders>
              <w:top w:val="nil"/>
              <w:left w:val="nil"/>
              <w:bottom w:val="nil"/>
              <w:right w:val="nil"/>
            </w:tcBorders>
            <w:shd w:val="clear" w:color="000000" w:fill="808080"/>
            <w:noWrap/>
            <w:vAlign w:val="bottom"/>
          </w:tcPr>
          <w:p w14:paraId="77947C4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1B10F0AC" w14:textId="77777777">
        <w:trPr>
          <w:trHeight w:val="288"/>
          <w:jc w:val="center"/>
        </w:trPr>
        <w:tc>
          <w:tcPr>
            <w:tcW w:w="960" w:type="dxa"/>
            <w:tcBorders>
              <w:top w:val="nil"/>
              <w:left w:val="nil"/>
              <w:bottom w:val="nil"/>
              <w:right w:val="nil"/>
            </w:tcBorders>
            <w:noWrap/>
            <w:vAlign w:val="bottom"/>
          </w:tcPr>
          <w:p w14:paraId="77DE0C44"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30</w:t>
            </w:r>
          </w:p>
        </w:tc>
        <w:tc>
          <w:tcPr>
            <w:tcW w:w="960" w:type="dxa"/>
            <w:tcBorders>
              <w:top w:val="nil"/>
              <w:left w:val="nil"/>
              <w:bottom w:val="nil"/>
              <w:right w:val="nil"/>
            </w:tcBorders>
            <w:noWrap/>
            <w:vAlign w:val="bottom"/>
          </w:tcPr>
          <w:p w14:paraId="1C89844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62A4E0D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MI</w:t>
            </w:r>
          </w:p>
        </w:tc>
        <w:tc>
          <w:tcPr>
            <w:tcW w:w="896" w:type="dxa"/>
            <w:tcBorders>
              <w:top w:val="nil"/>
              <w:left w:val="nil"/>
              <w:bottom w:val="nil"/>
              <w:right w:val="nil"/>
            </w:tcBorders>
            <w:shd w:val="clear" w:color="000000" w:fill="808080"/>
            <w:noWrap/>
            <w:vAlign w:val="bottom"/>
          </w:tcPr>
          <w:p w14:paraId="6A51E59A"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32</w:t>
            </w:r>
          </w:p>
        </w:tc>
        <w:tc>
          <w:tcPr>
            <w:tcW w:w="1107" w:type="dxa"/>
            <w:tcBorders>
              <w:top w:val="nil"/>
              <w:left w:val="nil"/>
              <w:bottom w:val="nil"/>
              <w:right w:val="nil"/>
            </w:tcBorders>
            <w:shd w:val="clear" w:color="000000" w:fill="808080"/>
            <w:noWrap/>
            <w:vAlign w:val="bottom"/>
          </w:tcPr>
          <w:p w14:paraId="62E234D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11880F05" w14:textId="77777777">
        <w:trPr>
          <w:trHeight w:val="288"/>
          <w:jc w:val="center"/>
        </w:trPr>
        <w:tc>
          <w:tcPr>
            <w:tcW w:w="960" w:type="dxa"/>
            <w:tcBorders>
              <w:top w:val="nil"/>
              <w:left w:val="nil"/>
              <w:bottom w:val="nil"/>
              <w:right w:val="nil"/>
            </w:tcBorders>
            <w:noWrap/>
            <w:vAlign w:val="bottom"/>
          </w:tcPr>
          <w:p w14:paraId="73EDB98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31</w:t>
            </w:r>
          </w:p>
        </w:tc>
        <w:tc>
          <w:tcPr>
            <w:tcW w:w="960" w:type="dxa"/>
            <w:tcBorders>
              <w:top w:val="nil"/>
              <w:left w:val="nil"/>
              <w:bottom w:val="nil"/>
              <w:right w:val="nil"/>
            </w:tcBorders>
            <w:noWrap/>
            <w:vAlign w:val="bottom"/>
          </w:tcPr>
          <w:p w14:paraId="01F3F92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07A9A66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Rea</w:t>
            </w:r>
          </w:p>
        </w:tc>
        <w:tc>
          <w:tcPr>
            <w:tcW w:w="896" w:type="dxa"/>
            <w:tcBorders>
              <w:top w:val="nil"/>
              <w:left w:val="nil"/>
              <w:bottom w:val="nil"/>
              <w:right w:val="nil"/>
            </w:tcBorders>
            <w:shd w:val="clear" w:color="000000" w:fill="808080"/>
            <w:noWrap/>
            <w:vAlign w:val="bottom"/>
          </w:tcPr>
          <w:p w14:paraId="1262A754"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35</w:t>
            </w:r>
          </w:p>
        </w:tc>
        <w:tc>
          <w:tcPr>
            <w:tcW w:w="1107" w:type="dxa"/>
            <w:tcBorders>
              <w:top w:val="nil"/>
              <w:left w:val="nil"/>
              <w:bottom w:val="nil"/>
              <w:right w:val="nil"/>
            </w:tcBorders>
            <w:shd w:val="clear" w:color="000000" w:fill="808080"/>
            <w:noWrap/>
            <w:vAlign w:val="bottom"/>
          </w:tcPr>
          <w:p w14:paraId="6DB9F20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r w:rsidR="00502BB2" w14:paraId="749C142C" w14:textId="77777777">
        <w:trPr>
          <w:trHeight w:val="288"/>
          <w:jc w:val="center"/>
        </w:trPr>
        <w:tc>
          <w:tcPr>
            <w:tcW w:w="960" w:type="dxa"/>
            <w:tcBorders>
              <w:top w:val="nil"/>
              <w:left w:val="nil"/>
              <w:bottom w:val="nil"/>
              <w:right w:val="nil"/>
            </w:tcBorders>
            <w:noWrap/>
            <w:vAlign w:val="bottom"/>
          </w:tcPr>
          <w:p w14:paraId="2BB4DB5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32</w:t>
            </w:r>
          </w:p>
        </w:tc>
        <w:tc>
          <w:tcPr>
            <w:tcW w:w="960" w:type="dxa"/>
            <w:tcBorders>
              <w:top w:val="nil"/>
              <w:left w:val="nil"/>
              <w:bottom w:val="nil"/>
              <w:right w:val="nil"/>
            </w:tcBorders>
            <w:noWrap/>
            <w:vAlign w:val="bottom"/>
          </w:tcPr>
          <w:p w14:paraId="544FEFC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Pcc</w:t>
            </w:r>
          </w:p>
        </w:tc>
        <w:tc>
          <w:tcPr>
            <w:tcW w:w="960" w:type="dxa"/>
            <w:tcBorders>
              <w:top w:val="nil"/>
              <w:left w:val="nil"/>
              <w:bottom w:val="nil"/>
              <w:right w:val="nil"/>
            </w:tcBorders>
            <w:noWrap/>
            <w:vAlign w:val="bottom"/>
          </w:tcPr>
          <w:p w14:paraId="19AF58B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Rea</w:t>
            </w:r>
          </w:p>
        </w:tc>
        <w:tc>
          <w:tcPr>
            <w:tcW w:w="896" w:type="dxa"/>
            <w:tcBorders>
              <w:top w:val="nil"/>
              <w:left w:val="nil"/>
              <w:bottom w:val="nil"/>
              <w:right w:val="nil"/>
            </w:tcBorders>
            <w:shd w:val="clear" w:color="000000" w:fill="808080"/>
            <w:noWrap/>
            <w:vAlign w:val="bottom"/>
          </w:tcPr>
          <w:p w14:paraId="76EB9575"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56</w:t>
            </w:r>
          </w:p>
        </w:tc>
        <w:tc>
          <w:tcPr>
            <w:tcW w:w="1107" w:type="dxa"/>
            <w:tcBorders>
              <w:top w:val="nil"/>
              <w:left w:val="nil"/>
              <w:bottom w:val="nil"/>
              <w:right w:val="nil"/>
            </w:tcBorders>
            <w:shd w:val="clear" w:color="000000" w:fill="808080"/>
            <w:noWrap/>
            <w:vAlign w:val="bottom"/>
          </w:tcPr>
          <w:p w14:paraId="46D1AB0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w:t>
            </w:r>
          </w:p>
        </w:tc>
      </w:tr>
    </w:tbl>
    <w:p w14:paraId="22BEBEE4" w14:textId="77777777" w:rsidR="00502BB2" w:rsidRDefault="00502BB2">
      <w:pPr>
        <w:jc w:val="center"/>
        <w:rPr>
          <w:b/>
          <w:bCs/>
        </w:rPr>
      </w:pPr>
    </w:p>
    <w:p w14:paraId="0AAE01AE" w14:textId="77777777" w:rsidR="00502BB2" w:rsidRDefault="00502BB2">
      <w:pPr>
        <w:jc w:val="center"/>
        <w:rPr>
          <w:b/>
          <w:bCs/>
        </w:rPr>
      </w:pPr>
    </w:p>
    <w:tbl>
      <w:tblPr>
        <w:tblpPr w:leftFromText="141" w:rightFromText="141" w:horzAnchor="margin" w:tblpXSpec="center" w:tblpY="2040"/>
        <w:tblW w:w="6370" w:type="dxa"/>
        <w:tblCellMar>
          <w:left w:w="70" w:type="dxa"/>
          <w:right w:w="70" w:type="dxa"/>
        </w:tblCellMar>
        <w:tblLook w:val="04A0" w:firstRow="1" w:lastRow="0" w:firstColumn="1" w:lastColumn="0" w:noHBand="0" w:noVBand="1"/>
      </w:tblPr>
      <w:tblGrid>
        <w:gridCol w:w="1618"/>
        <w:gridCol w:w="207"/>
        <w:gridCol w:w="1302"/>
        <w:gridCol w:w="1175"/>
        <w:gridCol w:w="1816"/>
        <w:gridCol w:w="252"/>
      </w:tblGrid>
      <w:tr w:rsidR="00502BB2" w14:paraId="51EE8941" w14:textId="77777777">
        <w:trPr>
          <w:trHeight w:val="288"/>
        </w:trPr>
        <w:tc>
          <w:tcPr>
            <w:tcW w:w="6370" w:type="dxa"/>
            <w:gridSpan w:val="6"/>
            <w:tcBorders>
              <w:top w:val="nil"/>
              <w:left w:val="nil"/>
              <w:bottom w:val="nil"/>
              <w:right w:val="nil"/>
            </w:tcBorders>
            <w:shd w:val="clear" w:color="000000" w:fill="ACB9CA"/>
            <w:noWrap/>
            <w:vAlign w:val="bottom"/>
          </w:tcPr>
          <w:p w14:paraId="50832350"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Caractéristique du diabète</w:t>
            </w:r>
          </w:p>
        </w:tc>
      </w:tr>
      <w:tr w:rsidR="00502BB2" w14:paraId="7B98D99A" w14:textId="77777777">
        <w:trPr>
          <w:trHeight w:val="288"/>
        </w:trPr>
        <w:tc>
          <w:tcPr>
            <w:tcW w:w="1618" w:type="dxa"/>
            <w:tcBorders>
              <w:top w:val="nil"/>
              <w:left w:val="nil"/>
              <w:bottom w:val="nil"/>
              <w:right w:val="nil"/>
            </w:tcBorders>
            <w:shd w:val="clear" w:color="000000" w:fill="ACB9CA"/>
            <w:noWrap/>
            <w:vAlign w:val="bottom"/>
          </w:tcPr>
          <w:p w14:paraId="4714709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Type du diabète</w:t>
            </w:r>
          </w:p>
        </w:tc>
        <w:tc>
          <w:tcPr>
            <w:tcW w:w="207" w:type="dxa"/>
            <w:tcBorders>
              <w:top w:val="nil"/>
              <w:left w:val="nil"/>
              <w:bottom w:val="nil"/>
              <w:right w:val="nil"/>
            </w:tcBorders>
            <w:shd w:val="clear" w:color="000000" w:fill="ACB9CA"/>
            <w:noWrap/>
            <w:vAlign w:val="bottom"/>
          </w:tcPr>
          <w:p w14:paraId="7630DD0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4B9C0C8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Durée</w:t>
            </w:r>
          </w:p>
        </w:tc>
        <w:tc>
          <w:tcPr>
            <w:tcW w:w="1175" w:type="dxa"/>
            <w:tcBorders>
              <w:top w:val="nil"/>
              <w:left w:val="nil"/>
              <w:bottom w:val="nil"/>
              <w:right w:val="nil"/>
            </w:tcBorders>
            <w:shd w:val="clear" w:color="000000" w:fill="ACB9CA"/>
            <w:noWrap/>
            <w:vAlign w:val="bottom"/>
          </w:tcPr>
          <w:p w14:paraId="3C99F08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Hba1c</w:t>
            </w:r>
          </w:p>
        </w:tc>
        <w:tc>
          <w:tcPr>
            <w:tcW w:w="1816" w:type="dxa"/>
            <w:tcBorders>
              <w:top w:val="nil"/>
              <w:left w:val="nil"/>
              <w:bottom w:val="nil"/>
              <w:right w:val="nil"/>
            </w:tcBorders>
            <w:shd w:val="clear" w:color="000000" w:fill="ACB9CA"/>
            <w:noWrap/>
            <w:vAlign w:val="bottom"/>
          </w:tcPr>
          <w:p w14:paraId="78AE836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ACDT familiaux</w:t>
            </w:r>
          </w:p>
        </w:tc>
        <w:tc>
          <w:tcPr>
            <w:tcW w:w="252" w:type="dxa"/>
            <w:tcBorders>
              <w:top w:val="nil"/>
              <w:left w:val="nil"/>
              <w:bottom w:val="nil"/>
              <w:right w:val="nil"/>
            </w:tcBorders>
            <w:shd w:val="clear" w:color="000000" w:fill="ACB9CA"/>
            <w:noWrap/>
            <w:vAlign w:val="bottom"/>
          </w:tcPr>
          <w:p w14:paraId="59F3DE02"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F646D48" w14:textId="77777777">
        <w:trPr>
          <w:trHeight w:val="288"/>
        </w:trPr>
        <w:tc>
          <w:tcPr>
            <w:tcW w:w="1825" w:type="dxa"/>
            <w:gridSpan w:val="2"/>
            <w:tcBorders>
              <w:top w:val="nil"/>
              <w:left w:val="nil"/>
              <w:bottom w:val="nil"/>
              <w:right w:val="nil"/>
            </w:tcBorders>
            <w:shd w:val="clear" w:color="000000" w:fill="ACB9CA"/>
            <w:noWrap/>
            <w:vAlign w:val="bottom"/>
          </w:tcPr>
          <w:p w14:paraId="31E0D1D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Gestationnelle</w:t>
            </w:r>
          </w:p>
        </w:tc>
        <w:tc>
          <w:tcPr>
            <w:tcW w:w="1302" w:type="dxa"/>
            <w:tcBorders>
              <w:top w:val="nil"/>
              <w:left w:val="nil"/>
              <w:bottom w:val="nil"/>
              <w:right w:val="nil"/>
            </w:tcBorders>
            <w:shd w:val="clear" w:color="000000" w:fill="ACB9CA"/>
            <w:noWrap/>
            <w:vAlign w:val="bottom"/>
          </w:tcPr>
          <w:p w14:paraId="18DF30B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Inaugural</w:t>
            </w:r>
          </w:p>
        </w:tc>
        <w:tc>
          <w:tcPr>
            <w:tcW w:w="1175" w:type="dxa"/>
            <w:tcBorders>
              <w:top w:val="nil"/>
              <w:left w:val="nil"/>
              <w:bottom w:val="nil"/>
              <w:right w:val="nil"/>
            </w:tcBorders>
            <w:shd w:val="clear" w:color="000000" w:fill="ACB9CA"/>
            <w:noWrap/>
            <w:vAlign w:val="bottom"/>
          </w:tcPr>
          <w:p w14:paraId="455C05B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76540A4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111B4CF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3A76CFE" w14:textId="77777777">
        <w:trPr>
          <w:trHeight w:val="288"/>
        </w:trPr>
        <w:tc>
          <w:tcPr>
            <w:tcW w:w="1618" w:type="dxa"/>
            <w:tcBorders>
              <w:top w:val="nil"/>
              <w:left w:val="nil"/>
              <w:bottom w:val="nil"/>
              <w:right w:val="nil"/>
            </w:tcBorders>
            <w:shd w:val="clear" w:color="000000" w:fill="ACB9CA"/>
            <w:noWrap/>
            <w:vAlign w:val="bottom"/>
          </w:tcPr>
          <w:p w14:paraId="2AC13CE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524AF47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20904A3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15ans</w:t>
            </w:r>
          </w:p>
        </w:tc>
        <w:tc>
          <w:tcPr>
            <w:tcW w:w="1175" w:type="dxa"/>
            <w:tcBorders>
              <w:top w:val="nil"/>
              <w:left w:val="nil"/>
              <w:bottom w:val="nil"/>
              <w:right w:val="nil"/>
            </w:tcBorders>
            <w:shd w:val="clear" w:color="000000" w:fill="ACB9CA"/>
            <w:noWrap/>
            <w:vAlign w:val="bottom"/>
          </w:tcPr>
          <w:p w14:paraId="5A7B546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4860DC8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46F86E2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F6F6A68" w14:textId="77777777">
        <w:trPr>
          <w:trHeight w:val="288"/>
        </w:trPr>
        <w:tc>
          <w:tcPr>
            <w:tcW w:w="1618" w:type="dxa"/>
            <w:tcBorders>
              <w:top w:val="nil"/>
              <w:left w:val="nil"/>
              <w:bottom w:val="nil"/>
              <w:right w:val="nil"/>
            </w:tcBorders>
            <w:shd w:val="clear" w:color="000000" w:fill="ACB9CA"/>
            <w:noWrap/>
            <w:vAlign w:val="bottom"/>
          </w:tcPr>
          <w:p w14:paraId="090D3268"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5A5362F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4C09B8B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8ans</w:t>
            </w:r>
          </w:p>
        </w:tc>
        <w:tc>
          <w:tcPr>
            <w:tcW w:w="1175" w:type="dxa"/>
            <w:tcBorders>
              <w:top w:val="nil"/>
              <w:left w:val="nil"/>
              <w:bottom w:val="nil"/>
              <w:right w:val="nil"/>
            </w:tcBorders>
            <w:shd w:val="clear" w:color="000000" w:fill="ACB9CA"/>
            <w:noWrap/>
            <w:vAlign w:val="bottom"/>
          </w:tcPr>
          <w:p w14:paraId="2C00036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18,30%</w:t>
            </w:r>
          </w:p>
        </w:tc>
        <w:tc>
          <w:tcPr>
            <w:tcW w:w="1816" w:type="dxa"/>
            <w:tcBorders>
              <w:top w:val="nil"/>
              <w:left w:val="nil"/>
              <w:bottom w:val="nil"/>
              <w:right w:val="nil"/>
            </w:tcBorders>
            <w:shd w:val="clear" w:color="000000" w:fill="ACB9CA"/>
            <w:noWrap/>
            <w:vAlign w:val="bottom"/>
          </w:tcPr>
          <w:p w14:paraId="17900FE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0CBE668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1C696A2" w14:textId="77777777">
        <w:trPr>
          <w:trHeight w:val="288"/>
        </w:trPr>
        <w:tc>
          <w:tcPr>
            <w:tcW w:w="1618" w:type="dxa"/>
            <w:tcBorders>
              <w:top w:val="nil"/>
              <w:left w:val="nil"/>
              <w:bottom w:val="nil"/>
              <w:right w:val="nil"/>
            </w:tcBorders>
            <w:shd w:val="clear" w:color="000000" w:fill="ACB9CA"/>
            <w:noWrap/>
            <w:vAlign w:val="bottom"/>
          </w:tcPr>
          <w:p w14:paraId="7052082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16106B8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0EF926E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175" w:type="dxa"/>
            <w:tcBorders>
              <w:top w:val="nil"/>
              <w:left w:val="nil"/>
              <w:bottom w:val="nil"/>
              <w:right w:val="nil"/>
            </w:tcBorders>
            <w:shd w:val="clear" w:color="000000" w:fill="ACB9CA"/>
            <w:noWrap/>
            <w:vAlign w:val="bottom"/>
          </w:tcPr>
          <w:p w14:paraId="0755589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70352E7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4344643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699A4F8" w14:textId="77777777">
        <w:trPr>
          <w:trHeight w:val="288"/>
        </w:trPr>
        <w:tc>
          <w:tcPr>
            <w:tcW w:w="1618" w:type="dxa"/>
            <w:tcBorders>
              <w:top w:val="nil"/>
              <w:left w:val="nil"/>
              <w:bottom w:val="nil"/>
              <w:right w:val="nil"/>
            </w:tcBorders>
            <w:shd w:val="clear" w:color="000000" w:fill="ACB9CA"/>
            <w:noWrap/>
            <w:vAlign w:val="bottom"/>
          </w:tcPr>
          <w:p w14:paraId="2A8DA53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07" w:type="dxa"/>
            <w:tcBorders>
              <w:top w:val="nil"/>
              <w:left w:val="nil"/>
              <w:bottom w:val="nil"/>
              <w:right w:val="nil"/>
            </w:tcBorders>
            <w:shd w:val="clear" w:color="000000" w:fill="ACB9CA"/>
            <w:noWrap/>
            <w:vAlign w:val="bottom"/>
          </w:tcPr>
          <w:p w14:paraId="1707D2B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222BCF5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175" w:type="dxa"/>
            <w:tcBorders>
              <w:top w:val="nil"/>
              <w:left w:val="nil"/>
              <w:bottom w:val="nil"/>
              <w:right w:val="nil"/>
            </w:tcBorders>
            <w:shd w:val="clear" w:color="000000" w:fill="ACB9CA"/>
            <w:noWrap/>
            <w:vAlign w:val="bottom"/>
          </w:tcPr>
          <w:p w14:paraId="05BDDEB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6015454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2B1097B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B5E0907" w14:textId="77777777">
        <w:trPr>
          <w:trHeight w:val="288"/>
        </w:trPr>
        <w:tc>
          <w:tcPr>
            <w:tcW w:w="1618" w:type="dxa"/>
            <w:tcBorders>
              <w:top w:val="nil"/>
              <w:left w:val="nil"/>
              <w:bottom w:val="nil"/>
              <w:right w:val="nil"/>
            </w:tcBorders>
            <w:shd w:val="clear" w:color="000000" w:fill="ACB9CA"/>
            <w:noWrap/>
            <w:vAlign w:val="bottom"/>
          </w:tcPr>
          <w:p w14:paraId="3F5A953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111C022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7A8B667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10ans</w:t>
            </w:r>
          </w:p>
        </w:tc>
        <w:tc>
          <w:tcPr>
            <w:tcW w:w="1175" w:type="dxa"/>
            <w:tcBorders>
              <w:top w:val="nil"/>
              <w:left w:val="nil"/>
              <w:bottom w:val="nil"/>
              <w:right w:val="nil"/>
            </w:tcBorders>
            <w:shd w:val="clear" w:color="000000" w:fill="ACB9CA"/>
            <w:noWrap/>
            <w:vAlign w:val="bottom"/>
          </w:tcPr>
          <w:p w14:paraId="50E6A3F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3B2D388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50DEB8A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53D7429" w14:textId="77777777">
        <w:trPr>
          <w:trHeight w:val="288"/>
        </w:trPr>
        <w:tc>
          <w:tcPr>
            <w:tcW w:w="1618" w:type="dxa"/>
            <w:tcBorders>
              <w:top w:val="nil"/>
              <w:left w:val="nil"/>
              <w:bottom w:val="nil"/>
              <w:right w:val="nil"/>
            </w:tcBorders>
            <w:shd w:val="clear" w:color="000000" w:fill="ACB9CA"/>
            <w:noWrap/>
            <w:vAlign w:val="bottom"/>
          </w:tcPr>
          <w:p w14:paraId="318D13C8"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0C3CA90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0E2CAB4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11ans</w:t>
            </w:r>
          </w:p>
        </w:tc>
        <w:tc>
          <w:tcPr>
            <w:tcW w:w="1175" w:type="dxa"/>
            <w:tcBorders>
              <w:top w:val="nil"/>
              <w:left w:val="nil"/>
              <w:bottom w:val="nil"/>
              <w:right w:val="nil"/>
            </w:tcBorders>
            <w:shd w:val="clear" w:color="000000" w:fill="ACB9CA"/>
            <w:noWrap/>
            <w:vAlign w:val="bottom"/>
          </w:tcPr>
          <w:p w14:paraId="62B2F4A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0660267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31B0C33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799B1B1" w14:textId="77777777">
        <w:trPr>
          <w:trHeight w:val="288"/>
        </w:trPr>
        <w:tc>
          <w:tcPr>
            <w:tcW w:w="1618" w:type="dxa"/>
            <w:tcBorders>
              <w:top w:val="nil"/>
              <w:left w:val="nil"/>
              <w:bottom w:val="nil"/>
              <w:right w:val="nil"/>
            </w:tcBorders>
            <w:shd w:val="clear" w:color="000000" w:fill="ACB9CA"/>
            <w:noWrap/>
            <w:vAlign w:val="bottom"/>
          </w:tcPr>
          <w:p w14:paraId="019E33A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2D30FAB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4B1019C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175" w:type="dxa"/>
            <w:tcBorders>
              <w:top w:val="nil"/>
              <w:left w:val="nil"/>
              <w:bottom w:val="nil"/>
              <w:right w:val="nil"/>
            </w:tcBorders>
            <w:shd w:val="clear" w:color="000000" w:fill="ACB9CA"/>
            <w:noWrap/>
            <w:vAlign w:val="bottom"/>
          </w:tcPr>
          <w:p w14:paraId="43B9A299"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14,50%</w:t>
            </w:r>
          </w:p>
        </w:tc>
        <w:tc>
          <w:tcPr>
            <w:tcW w:w="1816" w:type="dxa"/>
            <w:tcBorders>
              <w:top w:val="nil"/>
              <w:left w:val="nil"/>
              <w:bottom w:val="nil"/>
              <w:right w:val="nil"/>
            </w:tcBorders>
            <w:shd w:val="clear" w:color="000000" w:fill="ACB9CA"/>
            <w:noWrap/>
            <w:vAlign w:val="bottom"/>
          </w:tcPr>
          <w:p w14:paraId="439FABB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5F8A4C3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82CB38B" w14:textId="77777777">
        <w:trPr>
          <w:trHeight w:val="288"/>
        </w:trPr>
        <w:tc>
          <w:tcPr>
            <w:tcW w:w="1618" w:type="dxa"/>
            <w:tcBorders>
              <w:top w:val="nil"/>
              <w:left w:val="nil"/>
              <w:bottom w:val="nil"/>
              <w:right w:val="nil"/>
            </w:tcBorders>
            <w:shd w:val="clear" w:color="000000" w:fill="ACB9CA"/>
            <w:noWrap/>
            <w:vAlign w:val="bottom"/>
          </w:tcPr>
          <w:p w14:paraId="3E42AE7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Inaugural</w:t>
            </w:r>
          </w:p>
        </w:tc>
        <w:tc>
          <w:tcPr>
            <w:tcW w:w="207" w:type="dxa"/>
            <w:tcBorders>
              <w:top w:val="nil"/>
              <w:left w:val="nil"/>
              <w:bottom w:val="nil"/>
              <w:right w:val="nil"/>
            </w:tcBorders>
            <w:shd w:val="clear" w:color="000000" w:fill="ACB9CA"/>
            <w:noWrap/>
            <w:vAlign w:val="bottom"/>
          </w:tcPr>
          <w:p w14:paraId="1F2CCD6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14D1842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175" w:type="dxa"/>
            <w:tcBorders>
              <w:top w:val="nil"/>
              <w:left w:val="nil"/>
              <w:bottom w:val="nil"/>
              <w:right w:val="nil"/>
            </w:tcBorders>
            <w:shd w:val="clear" w:color="000000" w:fill="ACB9CA"/>
            <w:noWrap/>
            <w:vAlign w:val="bottom"/>
          </w:tcPr>
          <w:p w14:paraId="44C860F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563C49B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61E563A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23756A11" w14:textId="77777777">
        <w:trPr>
          <w:trHeight w:val="288"/>
        </w:trPr>
        <w:tc>
          <w:tcPr>
            <w:tcW w:w="1618" w:type="dxa"/>
            <w:tcBorders>
              <w:top w:val="nil"/>
              <w:left w:val="nil"/>
              <w:bottom w:val="nil"/>
              <w:right w:val="nil"/>
            </w:tcBorders>
            <w:shd w:val="clear" w:color="000000" w:fill="ACB9CA"/>
            <w:noWrap/>
            <w:vAlign w:val="bottom"/>
          </w:tcPr>
          <w:p w14:paraId="25F0A5FA"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1C1C306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007A9FD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13ans</w:t>
            </w:r>
          </w:p>
        </w:tc>
        <w:tc>
          <w:tcPr>
            <w:tcW w:w="1175" w:type="dxa"/>
            <w:tcBorders>
              <w:top w:val="nil"/>
              <w:left w:val="nil"/>
              <w:bottom w:val="nil"/>
              <w:right w:val="nil"/>
            </w:tcBorders>
            <w:shd w:val="clear" w:color="000000" w:fill="ACB9CA"/>
            <w:noWrap/>
            <w:vAlign w:val="bottom"/>
          </w:tcPr>
          <w:p w14:paraId="7B51BCB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9,40%</w:t>
            </w:r>
          </w:p>
        </w:tc>
        <w:tc>
          <w:tcPr>
            <w:tcW w:w="1816" w:type="dxa"/>
            <w:tcBorders>
              <w:top w:val="nil"/>
              <w:left w:val="nil"/>
              <w:bottom w:val="nil"/>
              <w:right w:val="nil"/>
            </w:tcBorders>
            <w:shd w:val="clear" w:color="000000" w:fill="ACB9CA"/>
            <w:noWrap/>
            <w:vAlign w:val="bottom"/>
          </w:tcPr>
          <w:p w14:paraId="09C17D4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5EEF755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52841FD" w14:textId="77777777">
        <w:trPr>
          <w:trHeight w:val="288"/>
        </w:trPr>
        <w:tc>
          <w:tcPr>
            <w:tcW w:w="1618" w:type="dxa"/>
            <w:tcBorders>
              <w:top w:val="nil"/>
              <w:left w:val="nil"/>
              <w:bottom w:val="nil"/>
              <w:right w:val="nil"/>
            </w:tcBorders>
            <w:shd w:val="clear" w:color="000000" w:fill="ACB9CA"/>
            <w:noWrap/>
            <w:vAlign w:val="bottom"/>
          </w:tcPr>
          <w:p w14:paraId="6A72D16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51D79A2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5742C10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175" w:type="dxa"/>
            <w:tcBorders>
              <w:top w:val="nil"/>
              <w:left w:val="nil"/>
              <w:bottom w:val="nil"/>
              <w:right w:val="nil"/>
            </w:tcBorders>
            <w:shd w:val="clear" w:color="000000" w:fill="ACB9CA"/>
            <w:noWrap/>
            <w:vAlign w:val="bottom"/>
          </w:tcPr>
          <w:p w14:paraId="36F4467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7,80%</w:t>
            </w:r>
          </w:p>
        </w:tc>
        <w:tc>
          <w:tcPr>
            <w:tcW w:w="1816" w:type="dxa"/>
            <w:tcBorders>
              <w:top w:val="nil"/>
              <w:left w:val="nil"/>
              <w:bottom w:val="nil"/>
              <w:right w:val="nil"/>
            </w:tcBorders>
            <w:shd w:val="clear" w:color="000000" w:fill="ACB9CA"/>
            <w:noWrap/>
            <w:vAlign w:val="bottom"/>
          </w:tcPr>
          <w:p w14:paraId="543F448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Dt2</w:t>
            </w:r>
          </w:p>
        </w:tc>
        <w:tc>
          <w:tcPr>
            <w:tcW w:w="252" w:type="dxa"/>
            <w:tcBorders>
              <w:top w:val="nil"/>
              <w:left w:val="nil"/>
              <w:bottom w:val="nil"/>
              <w:right w:val="nil"/>
            </w:tcBorders>
            <w:shd w:val="clear" w:color="000000" w:fill="ACB9CA"/>
            <w:noWrap/>
            <w:vAlign w:val="bottom"/>
          </w:tcPr>
          <w:p w14:paraId="1A34C2F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0B097A1" w14:textId="77777777">
        <w:trPr>
          <w:trHeight w:val="288"/>
        </w:trPr>
        <w:tc>
          <w:tcPr>
            <w:tcW w:w="1618" w:type="dxa"/>
            <w:tcBorders>
              <w:top w:val="nil"/>
              <w:left w:val="nil"/>
              <w:bottom w:val="nil"/>
              <w:right w:val="nil"/>
            </w:tcBorders>
            <w:shd w:val="clear" w:color="000000" w:fill="ACB9CA"/>
            <w:noWrap/>
            <w:vAlign w:val="bottom"/>
          </w:tcPr>
          <w:p w14:paraId="247872F5"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3BDEF82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73E286C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18ans</w:t>
            </w:r>
          </w:p>
        </w:tc>
        <w:tc>
          <w:tcPr>
            <w:tcW w:w="1175" w:type="dxa"/>
            <w:tcBorders>
              <w:top w:val="nil"/>
              <w:left w:val="nil"/>
              <w:bottom w:val="nil"/>
              <w:right w:val="nil"/>
            </w:tcBorders>
            <w:shd w:val="clear" w:color="000000" w:fill="ACB9CA"/>
            <w:noWrap/>
            <w:vAlign w:val="bottom"/>
          </w:tcPr>
          <w:p w14:paraId="545A146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12,60%</w:t>
            </w:r>
          </w:p>
        </w:tc>
        <w:tc>
          <w:tcPr>
            <w:tcW w:w="2068" w:type="dxa"/>
            <w:gridSpan w:val="2"/>
            <w:tcBorders>
              <w:top w:val="nil"/>
              <w:left w:val="nil"/>
              <w:bottom w:val="nil"/>
              <w:right w:val="nil"/>
            </w:tcBorders>
            <w:shd w:val="clear" w:color="000000" w:fill="ACB9CA"/>
            <w:noWrap/>
            <w:vAlign w:val="bottom"/>
          </w:tcPr>
          <w:p w14:paraId="1ECD9A9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HTA+cardiopathie</w:t>
            </w:r>
            <w:proofErr w:type="spellEnd"/>
          </w:p>
        </w:tc>
      </w:tr>
      <w:tr w:rsidR="00502BB2" w14:paraId="470CF2D1" w14:textId="77777777">
        <w:trPr>
          <w:trHeight w:val="288"/>
        </w:trPr>
        <w:tc>
          <w:tcPr>
            <w:tcW w:w="1618" w:type="dxa"/>
            <w:tcBorders>
              <w:top w:val="nil"/>
              <w:left w:val="nil"/>
              <w:bottom w:val="nil"/>
              <w:right w:val="nil"/>
            </w:tcBorders>
            <w:shd w:val="clear" w:color="000000" w:fill="ACB9CA"/>
            <w:noWrap/>
            <w:vAlign w:val="bottom"/>
          </w:tcPr>
          <w:p w14:paraId="21B5D03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570251F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0F0FEF4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14ans</w:t>
            </w:r>
          </w:p>
        </w:tc>
        <w:tc>
          <w:tcPr>
            <w:tcW w:w="1175" w:type="dxa"/>
            <w:tcBorders>
              <w:top w:val="nil"/>
              <w:left w:val="nil"/>
              <w:bottom w:val="nil"/>
              <w:right w:val="nil"/>
            </w:tcBorders>
            <w:shd w:val="clear" w:color="000000" w:fill="ACB9CA"/>
            <w:noWrap/>
            <w:vAlign w:val="bottom"/>
          </w:tcPr>
          <w:p w14:paraId="715AB87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40630F2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334A5E3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0619FB3" w14:textId="77777777">
        <w:trPr>
          <w:trHeight w:val="288"/>
        </w:trPr>
        <w:tc>
          <w:tcPr>
            <w:tcW w:w="1618" w:type="dxa"/>
            <w:tcBorders>
              <w:top w:val="nil"/>
              <w:left w:val="nil"/>
              <w:bottom w:val="nil"/>
              <w:right w:val="nil"/>
            </w:tcBorders>
            <w:shd w:val="clear" w:color="000000" w:fill="ACB9CA"/>
            <w:noWrap/>
            <w:vAlign w:val="bottom"/>
          </w:tcPr>
          <w:p w14:paraId="56CC146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Inaugural</w:t>
            </w:r>
          </w:p>
        </w:tc>
        <w:tc>
          <w:tcPr>
            <w:tcW w:w="207" w:type="dxa"/>
            <w:tcBorders>
              <w:top w:val="nil"/>
              <w:left w:val="nil"/>
              <w:bottom w:val="nil"/>
              <w:right w:val="nil"/>
            </w:tcBorders>
            <w:shd w:val="clear" w:color="000000" w:fill="ACB9CA"/>
            <w:noWrap/>
            <w:vAlign w:val="bottom"/>
          </w:tcPr>
          <w:p w14:paraId="6E38143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786BE5B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175" w:type="dxa"/>
            <w:tcBorders>
              <w:top w:val="nil"/>
              <w:left w:val="nil"/>
              <w:bottom w:val="nil"/>
              <w:right w:val="nil"/>
            </w:tcBorders>
            <w:shd w:val="clear" w:color="000000" w:fill="ACB9CA"/>
            <w:noWrap/>
            <w:vAlign w:val="bottom"/>
          </w:tcPr>
          <w:p w14:paraId="5E5924DA"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9,30%</w:t>
            </w:r>
          </w:p>
        </w:tc>
        <w:tc>
          <w:tcPr>
            <w:tcW w:w="1816" w:type="dxa"/>
            <w:tcBorders>
              <w:top w:val="nil"/>
              <w:left w:val="nil"/>
              <w:bottom w:val="nil"/>
              <w:right w:val="nil"/>
            </w:tcBorders>
            <w:shd w:val="clear" w:color="000000" w:fill="ACB9CA"/>
            <w:noWrap/>
            <w:vAlign w:val="bottom"/>
          </w:tcPr>
          <w:p w14:paraId="1CE7AB0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Dt2</w:t>
            </w:r>
          </w:p>
        </w:tc>
        <w:tc>
          <w:tcPr>
            <w:tcW w:w="252" w:type="dxa"/>
            <w:tcBorders>
              <w:top w:val="nil"/>
              <w:left w:val="nil"/>
              <w:bottom w:val="nil"/>
              <w:right w:val="nil"/>
            </w:tcBorders>
            <w:shd w:val="clear" w:color="000000" w:fill="ACB9CA"/>
            <w:noWrap/>
            <w:vAlign w:val="bottom"/>
          </w:tcPr>
          <w:p w14:paraId="7E98A0E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258D853" w14:textId="77777777">
        <w:trPr>
          <w:trHeight w:val="288"/>
        </w:trPr>
        <w:tc>
          <w:tcPr>
            <w:tcW w:w="1618" w:type="dxa"/>
            <w:tcBorders>
              <w:top w:val="nil"/>
              <w:left w:val="nil"/>
              <w:bottom w:val="nil"/>
              <w:right w:val="nil"/>
            </w:tcBorders>
            <w:shd w:val="clear" w:color="000000" w:fill="ACB9CA"/>
            <w:noWrap/>
            <w:vAlign w:val="bottom"/>
          </w:tcPr>
          <w:p w14:paraId="7C387183"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1C67A67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4F6A61C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6ans</w:t>
            </w:r>
          </w:p>
        </w:tc>
        <w:tc>
          <w:tcPr>
            <w:tcW w:w="1175" w:type="dxa"/>
            <w:tcBorders>
              <w:top w:val="nil"/>
              <w:left w:val="nil"/>
              <w:bottom w:val="nil"/>
              <w:right w:val="nil"/>
            </w:tcBorders>
            <w:shd w:val="clear" w:color="000000" w:fill="ACB9CA"/>
            <w:noWrap/>
            <w:vAlign w:val="bottom"/>
          </w:tcPr>
          <w:p w14:paraId="3F35BF6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11%</w:t>
            </w:r>
          </w:p>
        </w:tc>
        <w:tc>
          <w:tcPr>
            <w:tcW w:w="1816" w:type="dxa"/>
            <w:tcBorders>
              <w:top w:val="nil"/>
              <w:left w:val="nil"/>
              <w:bottom w:val="nil"/>
              <w:right w:val="nil"/>
            </w:tcBorders>
            <w:shd w:val="clear" w:color="000000" w:fill="ACB9CA"/>
            <w:noWrap/>
            <w:vAlign w:val="bottom"/>
          </w:tcPr>
          <w:p w14:paraId="0BFC771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HTA+dbt</w:t>
            </w:r>
            <w:proofErr w:type="spellEnd"/>
          </w:p>
        </w:tc>
        <w:tc>
          <w:tcPr>
            <w:tcW w:w="252" w:type="dxa"/>
            <w:tcBorders>
              <w:top w:val="nil"/>
              <w:left w:val="nil"/>
              <w:bottom w:val="nil"/>
              <w:right w:val="nil"/>
            </w:tcBorders>
            <w:shd w:val="clear" w:color="000000" w:fill="ACB9CA"/>
            <w:noWrap/>
            <w:vAlign w:val="bottom"/>
          </w:tcPr>
          <w:p w14:paraId="6F704D7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0974784" w14:textId="77777777">
        <w:trPr>
          <w:trHeight w:val="288"/>
        </w:trPr>
        <w:tc>
          <w:tcPr>
            <w:tcW w:w="1618" w:type="dxa"/>
            <w:tcBorders>
              <w:top w:val="nil"/>
              <w:left w:val="nil"/>
              <w:bottom w:val="nil"/>
              <w:right w:val="nil"/>
            </w:tcBorders>
            <w:shd w:val="clear" w:color="000000" w:fill="ACB9CA"/>
            <w:noWrap/>
            <w:vAlign w:val="bottom"/>
          </w:tcPr>
          <w:p w14:paraId="656FB8FF"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0A190E7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7E4CC06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7ans</w:t>
            </w:r>
          </w:p>
        </w:tc>
        <w:tc>
          <w:tcPr>
            <w:tcW w:w="1175" w:type="dxa"/>
            <w:tcBorders>
              <w:top w:val="nil"/>
              <w:left w:val="nil"/>
              <w:bottom w:val="nil"/>
              <w:right w:val="nil"/>
            </w:tcBorders>
            <w:shd w:val="clear" w:color="000000" w:fill="ACB9CA"/>
            <w:noWrap/>
            <w:vAlign w:val="bottom"/>
          </w:tcPr>
          <w:p w14:paraId="617EDD3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5AF9ECC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HTA</w:t>
            </w:r>
          </w:p>
        </w:tc>
        <w:tc>
          <w:tcPr>
            <w:tcW w:w="252" w:type="dxa"/>
            <w:tcBorders>
              <w:top w:val="nil"/>
              <w:left w:val="nil"/>
              <w:bottom w:val="nil"/>
              <w:right w:val="nil"/>
            </w:tcBorders>
            <w:shd w:val="clear" w:color="000000" w:fill="ACB9CA"/>
            <w:noWrap/>
            <w:vAlign w:val="bottom"/>
          </w:tcPr>
          <w:p w14:paraId="40FDB86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BBD5348" w14:textId="77777777">
        <w:trPr>
          <w:trHeight w:val="288"/>
        </w:trPr>
        <w:tc>
          <w:tcPr>
            <w:tcW w:w="1618" w:type="dxa"/>
            <w:tcBorders>
              <w:top w:val="nil"/>
              <w:left w:val="nil"/>
              <w:bottom w:val="nil"/>
              <w:right w:val="nil"/>
            </w:tcBorders>
            <w:shd w:val="clear" w:color="000000" w:fill="ACB9CA"/>
            <w:noWrap/>
            <w:vAlign w:val="bottom"/>
          </w:tcPr>
          <w:p w14:paraId="269F6A79"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4CC45D6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244104A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15ans</w:t>
            </w:r>
          </w:p>
        </w:tc>
        <w:tc>
          <w:tcPr>
            <w:tcW w:w="1175" w:type="dxa"/>
            <w:tcBorders>
              <w:top w:val="nil"/>
              <w:left w:val="nil"/>
              <w:bottom w:val="nil"/>
              <w:right w:val="nil"/>
            </w:tcBorders>
            <w:shd w:val="clear" w:color="000000" w:fill="ACB9CA"/>
            <w:noWrap/>
            <w:vAlign w:val="bottom"/>
          </w:tcPr>
          <w:p w14:paraId="6D5C3D4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11,70%</w:t>
            </w:r>
          </w:p>
        </w:tc>
        <w:tc>
          <w:tcPr>
            <w:tcW w:w="1816" w:type="dxa"/>
            <w:tcBorders>
              <w:top w:val="nil"/>
              <w:left w:val="nil"/>
              <w:bottom w:val="nil"/>
              <w:right w:val="nil"/>
            </w:tcBorders>
            <w:shd w:val="clear" w:color="000000" w:fill="ACB9CA"/>
            <w:noWrap/>
            <w:vAlign w:val="bottom"/>
          </w:tcPr>
          <w:p w14:paraId="06A7B8F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Dt</w:t>
            </w:r>
            <w:proofErr w:type="spellEnd"/>
          </w:p>
        </w:tc>
        <w:tc>
          <w:tcPr>
            <w:tcW w:w="252" w:type="dxa"/>
            <w:tcBorders>
              <w:top w:val="nil"/>
              <w:left w:val="nil"/>
              <w:bottom w:val="nil"/>
              <w:right w:val="nil"/>
            </w:tcBorders>
            <w:shd w:val="clear" w:color="000000" w:fill="ACB9CA"/>
            <w:noWrap/>
            <w:vAlign w:val="bottom"/>
          </w:tcPr>
          <w:p w14:paraId="6B70A6D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4E5128F" w14:textId="77777777">
        <w:trPr>
          <w:trHeight w:val="288"/>
        </w:trPr>
        <w:tc>
          <w:tcPr>
            <w:tcW w:w="1618" w:type="dxa"/>
            <w:tcBorders>
              <w:top w:val="nil"/>
              <w:left w:val="nil"/>
              <w:bottom w:val="nil"/>
              <w:right w:val="nil"/>
            </w:tcBorders>
            <w:shd w:val="clear" w:color="000000" w:fill="ACB9CA"/>
            <w:noWrap/>
            <w:vAlign w:val="bottom"/>
          </w:tcPr>
          <w:p w14:paraId="0930CE98"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3072641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2F770CD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2mois</w:t>
            </w:r>
          </w:p>
        </w:tc>
        <w:tc>
          <w:tcPr>
            <w:tcW w:w="1175" w:type="dxa"/>
            <w:tcBorders>
              <w:top w:val="nil"/>
              <w:left w:val="nil"/>
              <w:bottom w:val="nil"/>
              <w:right w:val="nil"/>
            </w:tcBorders>
            <w:shd w:val="clear" w:color="000000" w:fill="ACB9CA"/>
            <w:noWrap/>
            <w:vAlign w:val="bottom"/>
          </w:tcPr>
          <w:p w14:paraId="05347451"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12,90%</w:t>
            </w:r>
          </w:p>
        </w:tc>
        <w:tc>
          <w:tcPr>
            <w:tcW w:w="1816" w:type="dxa"/>
            <w:tcBorders>
              <w:top w:val="nil"/>
              <w:left w:val="nil"/>
              <w:bottom w:val="nil"/>
              <w:right w:val="nil"/>
            </w:tcBorders>
            <w:shd w:val="clear" w:color="000000" w:fill="ACB9CA"/>
            <w:noWrap/>
            <w:vAlign w:val="bottom"/>
          </w:tcPr>
          <w:p w14:paraId="485F039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0019B29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6BDBD7B" w14:textId="77777777">
        <w:trPr>
          <w:trHeight w:val="288"/>
        </w:trPr>
        <w:tc>
          <w:tcPr>
            <w:tcW w:w="1618" w:type="dxa"/>
            <w:tcBorders>
              <w:top w:val="nil"/>
              <w:left w:val="nil"/>
              <w:bottom w:val="nil"/>
              <w:right w:val="nil"/>
            </w:tcBorders>
            <w:shd w:val="clear" w:color="000000" w:fill="ACB9CA"/>
            <w:noWrap/>
            <w:vAlign w:val="bottom"/>
          </w:tcPr>
          <w:p w14:paraId="1305F1A3"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6613BAE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1DF51A3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30ans</w:t>
            </w:r>
          </w:p>
        </w:tc>
        <w:tc>
          <w:tcPr>
            <w:tcW w:w="1175" w:type="dxa"/>
            <w:tcBorders>
              <w:top w:val="nil"/>
              <w:left w:val="nil"/>
              <w:bottom w:val="nil"/>
              <w:right w:val="nil"/>
            </w:tcBorders>
            <w:shd w:val="clear" w:color="000000" w:fill="ACB9CA"/>
            <w:noWrap/>
            <w:vAlign w:val="bottom"/>
          </w:tcPr>
          <w:p w14:paraId="5EFB669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6D9C0BB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Dt2</w:t>
            </w:r>
          </w:p>
        </w:tc>
        <w:tc>
          <w:tcPr>
            <w:tcW w:w="252" w:type="dxa"/>
            <w:tcBorders>
              <w:top w:val="nil"/>
              <w:left w:val="nil"/>
              <w:bottom w:val="nil"/>
              <w:right w:val="nil"/>
            </w:tcBorders>
            <w:shd w:val="clear" w:color="000000" w:fill="ACB9CA"/>
            <w:noWrap/>
            <w:vAlign w:val="bottom"/>
          </w:tcPr>
          <w:p w14:paraId="167B642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B1B6C01" w14:textId="77777777">
        <w:trPr>
          <w:trHeight w:val="288"/>
        </w:trPr>
        <w:tc>
          <w:tcPr>
            <w:tcW w:w="1618" w:type="dxa"/>
            <w:tcBorders>
              <w:top w:val="nil"/>
              <w:left w:val="nil"/>
              <w:bottom w:val="nil"/>
              <w:right w:val="nil"/>
            </w:tcBorders>
            <w:shd w:val="clear" w:color="000000" w:fill="ACB9CA"/>
            <w:noWrap/>
            <w:vAlign w:val="bottom"/>
          </w:tcPr>
          <w:p w14:paraId="081AC99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Inaugural</w:t>
            </w:r>
          </w:p>
        </w:tc>
        <w:tc>
          <w:tcPr>
            <w:tcW w:w="207" w:type="dxa"/>
            <w:tcBorders>
              <w:top w:val="nil"/>
              <w:left w:val="nil"/>
              <w:bottom w:val="nil"/>
              <w:right w:val="nil"/>
            </w:tcBorders>
            <w:shd w:val="clear" w:color="000000" w:fill="ACB9CA"/>
            <w:noWrap/>
            <w:vAlign w:val="bottom"/>
          </w:tcPr>
          <w:p w14:paraId="06B4584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4FABA55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1smn</w:t>
            </w:r>
          </w:p>
        </w:tc>
        <w:tc>
          <w:tcPr>
            <w:tcW w:w="1175" w:type="dxa"/>
            <w:tcBorders>
              <w:top w:val="nil"/>
              <w:left w:val="nil"/>
              <w:bottom w:val="nil"/>
              <w:right w:val="nil"/>
            </w:tcBorders>
            <w:shd w:val="clear" w:color="000000" w:fill="ACB9CA"/>
            <w:noWrap/>
            <w:vAlign w:val="bottom"/>
          </w:tcPr>
          <w:p w14:paraId="06F3A72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11,50%</w:t>
            </w:r>
          </w:p>
        </w:tc>
        <w:tc>
          <w:tcPr>
            <w:tcW w:w="1816" w:type="dxa"/>
            <w:tcBorders>
              <w:top w:val="nil"/>
              <w:left w:val="nil"/>
              <w:bottom w:val="nil"/>
              <w:right w:val="nil"/>
            </w:tcBorders>
            <w:shd w:val="clear" w:color="000000" w:fill="ACB9CA"/>
            <w:noWrap/>
            <w:vAlign w:val="bottom"/>
          </w:tcPr>
          <w:p w14:paraId="4C5FFF6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Dt1</w:t>
            </w:r>
          </w:p>
        </w:tc>
        <w:tc>
          <w:tcPr>
            <w:tcW w:w="252" w:type="dxa"/>
            <w:tcBorders>
              <w:top w:val="nil"/>
              <w:left w:val="nil"/>
              <w:bottom w:val="nil"/>
              <w:right w:val="nil"/>
            </w:tcBorders>
            <w:shd w:val="clear" w:color="000000" w:fill="ACB9CA"/>
            <w:noWrap/>
            <w:vAlign w:val="bottom"/>
          </w:tcPr>
          <w:p w14:paraId="19D6A8E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F9A5103" w14:textId="77777777">
        <w:trPr>
          <w:trHeight w:val="288"/>
        </w:trPr>
        <w:tc>
          <w:tcPr>
            <w:tcW w:w="1618" w:type="dxa"/>
            <w:tcBorders>
              <w:top w:val="nil"/>
              <w:left w:val="nil"/>
              <w:bottom w:val="nil"/>
              <w:right w:val="nil"/>
            </w:tcBorders>
            <w:shd w:val="clear" w:color="000000" w:fill="ACB9CA"/>
            <w:noWrap/>
            <w:vAlign w:val="bottom"/>
          </w:tcPr>
          <w:p w14:paraId="460B4F6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Inaugural</w:t>
            </w:r>
          </w:p>
        </w:tc>
        <w:tc>
          <w:tcPr>
            <w:tcW w:w="207" w:type="dxa"/>
            <w:tcBorders>
              <w:top w:val="nil"/>
              <w:left w:val="nil"/>
              <w:bottom w:val="nil"/>
              <w:right w:val="nil"/>
            </w:tcBorders>
            <w:shd w:val="clear" w:color="000000" w:fill="ACB9CA"/>
            <w:noWrap/>
            <w:vAlign w:val="bottom"/>
          </w:tcPr>
          <w:p w14:paraId="3AF1477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554F19B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2mois</w:t>
            </w:r>
          </w:p>
        </w:tc>
        <w:tc>
          <w:tcPr>
            <w:tcW w:w="1175" w:type="dxa"/>
            <w:tcBorders>
              <w:top w:val="nil"/>
              <w:left w:val="nil"/>
              <w:bottom w:val="nil"/>
              <w:right w:val="nil"/>
            </w:tcBorders>
            <w:shd w:val="clear" w:color="000000" w:fill="ACB9CA"/>
            <w:noWrap/>
            <w:vAlign w:val="bottom"/>
          </w:tcPr>
          <w:p w14:paraId="569A3C8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13,60%</w:t>
            </w:r>
          </w:p>
        </w:tc>
        <w:tc>
          <w:tcPr>
            <w:tcW w:w="1816" w:type="dxa"/>
            <w:tcBorders>
              <w:top w:val="nil"/>
              <w:left w:val="nil"/>
              <w:bottom w:val="nil"/>
              <w:right w:val="nil"/>
            </w:tcBorders>
            <w:shd w:val="clear" w:color="000000" w:fill="ACB9CA"/>
            <w:noWrap/>
            <w:vAlign w:val="bottom"/>
          </w:tcPr>
          <w:p w14:paraId="7610BF9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Dt</w:t>
            </w:r>
            <w:proofErr w:type="spellEnd"/>
          </w:p>
        </w:tc>
        <w:tc>
          <w:tcPr>
            <w:tcW w:w="252" w:type="dxa"/>
            <w:tcBorders>
              <w:top w:val="nil"/>
              <w:left w:val="nil"/>
              <w:bottom w:val="nil"/>
              <w:right w:val="nil"/>
            </w:tcBorders>
            <w:shd w:val="clear" w:color="000000" w:fill="ACB9CA"/>
            <w:noWrap/>
            <w:vAlign w:val="bottom"/>
          </w:tcPr>
          <w:p w14:paraId="7B93C93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D0AEEE7" w14:textId="77777777">
        <w:trPr>
          <w:trHeight w:val="288"/>
        </w:trPr>
        <w:tc>
          <w:tcPr>
            <w:tcW w:w="1618" w:type="dxa"/>
            <w:tcBorders>
              <w:top w:val="nil"/>
              <w:left w:val="nil"/>
              <w:bottom w:val="nil"/>
              <w:right w:val="nil"/>
            </w:tcBorders>
            <w:shd w:val="clear" w:color="000000" w:fill="ACB9CA"/>
            <w:noWrap/>
            <w:vAlign w:val="bottom"/>
          </w:tcPr>
          <w:p w14:paraId="0E22D5C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Inaugural</w:t>
            </w:r>
          </w:p>
        </w:tc>
        <w:tc>
          <w:tcPr>
            <w:tcW w:w="207" w:type="dxa"/>
            <w:tcBorders>
              <w:top w:val="nil"/>
              <w:left w:val="nil"/>
              <w:bottom w:val="nil"/>
              <w:right w:val="nil"/>
            </w:tcBorders>
            <w:shd w:val="clear" w:color="000000" w:fill="ACB9CA"/>
            <w:noWrap/>
            <w:vAlign w:val="bottom"/>
          </w:tcPr>
          <w:p w14:paraId="6971011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2F43FDF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1mois</w:t>
            </w:r>
          </w:p>
        </w:tc>
        <w:tc>
          <w:tcPr>
            <w:tcW w:w="1175" w:type="dxa"/>
            <w:tcBorders>
              <w:top w:val="nil"/>
              <w:left w:val="nil"/>
              <w:bottom w:val="nil"/>
              <w:right w:val="nil"/>
            </w:tcBorders>
            <w:shd w:val="clear" w:color="000000" w:fill="ACB9CA"/>
            <w:noWrap/>
            <w:vAlign w:val="bottom"/>
          </w:tcPr>
          <w:p w14:paraId="5E71C291"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15,30%</w:t>
            </w:r>
          </w:p>
        </w:tc>
        <w:tc>
          <w:tcPr>
            <w:tcW w:w="2068" w:type="dxa"/>
            <w:gridSpan w:val="2"/>
            <w:tcBorders>
              <w:top w:val="nil"/>
              <w:left w:val="nil"/>
              <w:bottom w:val="nil"/>
              <w:right w:val="nil"/>
            </w:tcBorders>
            <w:shd w:val="clear" w:color="000000" w:fill="ACB9CA"/>
            <w:noWrap/>
            <w:vAlign w:val="bottom"/>
          </w:tcPr>
          <w:p w14:paraId="4D42217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Dt</w:t>
            </w:r>
            <w:proofErr w:type="spellEnd"/>
            <w:r>
              <w:rPr>
                <w:rFonts w:asciiTheme="minorBidi" w:eastAsia="Times New Roman" w:hAnsiTheme="minorBidi"/>
                <w:color w:val="000000"/>
                <w:kern w:val="0"/>
                <w:sz w:val="24"/>
                <w:szCs w:val="24"/>
                <w:lang w:eastAsia="fr-FR"/>
                <w14:ligatures w14:val="none"/>
              </w:rPr>
              <w:t>-psychose</w:t>
            </w:r>
          </w:p>
        </w:tc>
      </w:tr>
      <w:tr w:rsidR="00502BB2" w14:paraId="6D54E61A" w14:textId="77777777">
        <w:trPr>
          <w:trHeight w:val="288"/>
        </w:trPr>
        <w:tc>
          <w:tcPr>
            <w:tcW w:w="1618" w:type="dxa"/>
            <w:tcBorders>
              <w:top w:val="nil"/>
              <w:left w:val="nil"/>
              <w:bottom w:val="nil"/>
              <w:right w:val="nil"/>
            </w:tcBorders>
            <w:shd w:val="clear" w:color="000000" w:fill="ACB9CA"/>
            <w:noWrap/>
            <w:vAlign w:val="bottom"/>
          </w:tcPr>
          <w:p w14:paraId="277C0CD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5D05E7A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4693DC9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4ans</w:t>
            </w:r>
          </w:p>
        </w:tc>
        <w:tc>
          <w:tcPr>
            <w:tcW w:w="1175" w:type="dxa"/>
            <w:tcBorders>
              <w:top w:val="nil"/>
              <w:left w:val="nil"/>
              <w:bottom w:val="nil"/>
              <w:right w:val="nil"/>
            </w:tcBorders>
            <w:shd w:val="clear" w:color="000000" w:fill="ACB9CA"/>
            <w:noWrap/>
            <w:vAlign w:val="bottom"/>
          </w:tcPr>
          <w:p w14:paraId="31814852"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14,90%</w:t>
            </w:r>
          </w:p>
        </w:tc>
        <w:tc>
          <w:tcPr>
            <w:tcW w:w="1816" w:type="dxa"/>
            <w:tcBorders>
              <w:top w:val="nil"/>
              <w:left w:val="nil"/>
              <w:bottom w:val="nil"/>
              <w:right w:val="nil"/>
            </w:tcBorders>
            <w:shd w:val="clear" w:color="000000" w:fill="ACB9CA"/>
            <w:noWrap/>
            <w:vAlign w:val="bottom"/>
          </w:tcPr>
          <w:p w14:paraId="47C03A9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3495AE8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8B6A4A6" w14:textId="77777777">
        <w:trPr>
          <w:trHeight w:val="288"/>
        </w:trPr>
        <w:tc>
          <w:tcPr>
            <w:tcW w:w="1618" w:type="dxa"/>
            <w:tcBorders>
              <w:top w:val="nil"/>
              <w:left w:val="nil"/>
              <w:bottom w:val="nil"/>
              <w:right w:val="nil"/>
            </w:tcBorders>
            <w:shd w:val="clear" w:color="000000" w:fill="ACB9CA"/>
            <w:noWrap/>
            <w:vAlign w:val="bottom"/>
          </w:tcPr>
          <w:p w14:paraId="6D0C5FB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0EC0DB7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17AFC13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4mois</w:t>
            </w:r>
          </w:p>
        </w:tc>
        <w:tc>
          <w:tcPr>
            <w:tcW w:w="1175" w:type="dxa"/>
            <w:tcBorders>
              <w:top w:val="nil"/>
              <w:left w:val="nil"/>
              <w:bottom w:val="nil"/>
              <w:right w:val="nil"/>
            </w:tcBorders>
            <w:shd w:val="clear" w:color="000000" w:fill="ACB9CA"/>
            <w:noWrap/>
            <w:vAlign w:val="bottom"/>
          </w:tcPr>
          <w:p w14:paraId="4C9521A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14,00%</w:t>
            </w:r>
          </w:p>
        </w:tc>
        <w:tc>
          <w:tcPr>
            <w:tcW w:w="1816" w:type="dxa"/>
            <w:tcBorders>
              <w:top w:val="nil"/>
              <w:left w:val="nil"/>
              <w:bottom w:val="nil"/>
              <w:right w:val="nil"/>
            </w:tcBorders>
            <w:shd w:val="clear" w:color="000000" w:fill="ACB9CA"/>
            <w:noWrap/>
            <w:vAlign w:val="bottom"/>
          </w:tcPr>
          <w:p w14:paraId="1039752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Dt1-2</w:t>
            </w:r>
          </w:p>
        </w:tc>
        <w:tc>
          <w:tcPr>
            <w:tcW w:w="252" w:type="dxa"/>
            <w:tcBorders>
              <w:top w:val="nil"/>
              <w:left w:val="nil"/>
              <w:bottom w:val="nil"/>
              <w:right w:val="nil"/>
            </w:tcBorders>
            <w:shd w:val="clear" w:color="000000" w:fill="ACB9CA"/>
            <w:noWrap/>
            <w:vAlign w:val="bottom"/>
          </w:tcPr>
          <w:p w14:paraId="0750902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7464F61" w14:textId="77777777">
        <w:trPr>
          <w:trHeight w:val="288"/>
        </w:trPr>
        <w:tc>
          <w:tcPr>
            <w:tcW w:w="1618" w:type="dxa"/>
            <w:tcBorders>
              <w:top w:val="nil"/>
              <w:left w:val="nil"/>
              <w:bottom w:val="nil"/>
              <w:right w:val="nil"/>
            </w:tcBorders>
            <w:shd w:val="clear" w:color="000000" w:fill="ACB9CA"/>
            <w:noWrap/>
            <w:vAlign w:val="bottom"/>
          </w:tcPr>
          <w:p w14:paraId="51D7398A"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48C736A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1D8978F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8ans</w:t>
            </w:r>
          </w:p>
        </w:tc>
        <w:tc>
          <w:tcPr>
            <w:tcW w:w="1175" w:type="dxa"/>
            <w:tcBorders>
              <w:top w:val="nil"/>
              <w:left w:val="nil"/>
              <w:bottom w:val="nil"/>
              <w:right w:val="nil"/>
            </w:tcBorders>
            <w:shd w:val="clear" w:color="000000" w:fill="ACB9CA"/>
            <w:noWrap/>
            <w:vAlign w:val="bottom"/>
          </w:tcPr>
          <w:p w14:paraId="3DF38290"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11,70%</w:t>
            </w:r>
          </w:p>
        </w:tc>
        <w:tc>
          <w:tcPr>
            <w:tcW w:w="1816" w:type="dxa"/>
            <w:tcBorders>
              <w:top w:val="nil"/>
              <w:left w:val="nil"/>
              <w:bottom w:val="nil"/>
              <w:right w:val="nil"/>
            </w:tcBorders>
            <w:shd w:val="clear" w:color="000000" w:fill="ACB9CA"/>
            <w:noWrap/>
            <w:vAlign w:val="bottom"/>
          </w:tcPr>
          <w:p w14:paraId="41E4A36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HTA</w:t>
            </w:r>
          </w:p>
        </w:tc>
        <w:tc>
          <w:tcPr>
            <w:tcW w:w="252" w:type="dxa"/>
            <w:tcBorders>
              <w:top w:val="nil"/>
              <w:left w:val="nil"/>
              <w:bottom w:val="nil"/>
              <w:right w:val="nil"/>
            </w:tcBorders>
            <w:shd w:val="clear" w:color="000000" w:fill="ACB9CA"/>
            <w:noWrap/>
            <w:vAlign w:val="bottom"/>
          </w:tcPr>
          <w:p w14:paraId="7B5E99F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00108FD" w14:textId="77777777">
        <w:trPr>
          <w:trHeight w:val="288"/>
        </w:trPr>
        <w:tc>
          <w:tcPr>
            <w:tcW w:w="1618" w:type="dxa"/>
            <w:tcBorders>
              <w:top w:val="nil"/>
              <w:left w:val="nil"/>
              <w:bottom w:val="nil"/>
              <w:right w:val="nil"/>
            </w:tcBorders>
            <w:shd w:val="clear" w:color="000000" w:fill="ACB9CA"/>
            <w:noWrap/>
            <w:vAlign w:val="bottom"/>
          </w:tcPr>
          <w:p w14:paraId="5F603FB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0A7A071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066F81A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18ans</w:t>
            </w:r>
          </w:p>
        </w:tc>
        <w:tc>
          <w:tcPr>
            <w:tcW w:w="1175" w:type="dxa"/>
            <w:tcBorders>
              <w:top w:val="nil"/>
              <w:left w:val="nil"/>
              <w:bottom w:val="nil"/>
              <w:right w:val="nil"/>
            </w:tcBorders>
            <w:shd w:val="clear" w:color="000000" w:fill="ACB9CA"/>
            <w:noWrap/>
            <w:vAlign w:val="bottom"/>
          </w:tcPr>
          <w:p w14:paraId="7ECDE49E"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8,90%</w:t>
            </w:r>
          </w:p>
        </w:tc>
        <w:tc>
          <w:tcPr>
            <w:tcW w:w="1816" w:type="dxa"/>
            <w:tcBorders>
              <w:top w:val="nil"/>
              <w:left w:val="nil"/>
              <w:bottom w:val="nil"/>
              <w:right w:val="nil"/>
            </w:tcBorders>
            <w:shd w:val="clear" w:color="000000" w:fill="ACB9CA"/>
            <w:noWrap/>
            <w:vAlign w:val="bottom"/>
          </w:tcPr>
          <w:p w14:paraId="3BC8726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13D93CE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BCBE85E" w14:textId="77777777">
        <w:trPr>
          <w:trHeight w:val="288"/>
        </w:trPr>
        <w:tc>
          <w:tcPr>
            <w:tcW w:w="1618" w:type="dxa"/>
            <w:tcBorders>
              <w:top w:val="nil"/>
              <w:left w:val="nil"/>
              <w:bottom w:val="nil"/>
              <w:right w:val="nil"/>
            </w:tcBorders>
            <w:shd w:val="clear" w:color="000000" w:fill="ACB9CA"/>
            <w:noWrap/>
            <w:vAlign w:val="bottom"/>
          </w:tcPr>
          <w:p w14:paraId="12C27A73"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49E04B8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3CBDFA9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10ans</w:t>
            </w:r>
          </w:p>
        </w:tc>
        <w:tc>
          <w:tcPr>
            <w:tcW w:w="1175" w:type="dxa"/>
            <w:tcBorders>
              <w:top w:val="nil"/>
              <w:left w:val="nil"/>
              <w:bottom w:val="nil"/>
              <w:right w:val="nil"/>
            </w:tcBorders>
            <w:shd w:val="clear" w:color="000000" w:fill="ACB9CA"/>
            <w:noWrap/>
            <w:vAlign w:val="bottom"/>
          </w:tcPr>
          <w:p w14:paraId="5F4270EE"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10,80%</w:t>
            </w:r>
          </w:p>
        </w:tc>
        <w:tc>
          <w:tcPr>
            <w:tcW w:w="1816" w:type="dxa"/>
            <w:tcBorders>
              <w:top w:val="nil"/>
              <w:left w:val="nil"/>
              <w:bottom w:val="nil"/>
              <w:right w:val="nil"/>
            </w:tcBorders>
            <w:shd w:val="clear" w:color="000000" w:fill="ACB9CA"/>
            <w:noWrap/>
            <w:vAlign w:val="bottom"/>
          </w:tcPr>
          <w:p w14:paraId="12F335A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175DFD5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96FF6D4" w14:textId="77777777">
        <w:trPr>
          <w:trHeight w:val="288"/>
        </w:trPr>
        <w:tc>
          <w:tcPr>
            <w:tcW w:w="1618" w:type="dxa"/>
            <w:tcBorders>
              <w:top w:val="nil"/>
              <w:left w:val="nil"/>
              <w:bottom w:val="nil"/>
              <w:right w:val="nil"/>
            </w:tcBorders>
            <w:shd w:val="clear" w:color="000000" w:fill="ACB9CA"/>
            <w:noWrap/>
            <w:vAlign w:val="bottom"/>
          </w:tcPr>
          <w:p w14:paraId="289E0CC1"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525C213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3372A09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24ans</w:t>
            </w:r>
          </w:p>
        </w:tc>
        <w:tc>
          <w:tcPr>
            <w:tcW w:w="1175" w:type="dxa"/>
            <w:tcBorders>
              <w:top w:val="nil"/>
              <w:left w:val="nil"/>
              <w:bottom w:val="nil"/>
              <w:right w:val="nil"/>
            </w:tcBorders>
            <w:shd w:val="clear" w:color="000000" w:fill="ACB9CA"/>
            <w:noWrap/>
            <w:vAlign w:val="bottom"/>
          </w:tcPr>
          <w:p w14:paraId="4F88368B"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12,50%</w:t>
            </w:r>
          </w:p>
        </w:tc>
        <w:tc>
          <w:tcPr>
            <w:tcW w:w="1816" w:type="dxa"/>
            <w:tcBorders>
              <w:top w:val="nil"/>
              <w:left w:val="nil"/>
              <w:bottom w:val="nil"/>
              <w:right w:val="nil"/>
            </w:tcBorders>
            <w:shd w:val="clear" w:color="000000" w:fill="ACB9CA"/>
            <w:noWrap/>
            <w:vAlign w:val="bottom"/>
          </w:tcPr>
          <w:p w14:paraId="37A1635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Dt2</w:t>
            </w:r>
          </w:p>
        </w:tc>
        <w:tc>
          <w:tcPr>
            <w:tcW w:w="252" w:type="dxa"/>
            <w:tcBorders>
              <w:top w:val="nil"/>
              <w:left w:val="nil"/>
              <w:bottom w:val="nil"/>
              <w:right w:val="nil"/>
            </w:tcBorders>
            <w:shd w:val="clear" w:color="000000" w:fill="ACB9CA"/>
            <w:noWrap/>
            <w:vAlign w:val="bottom"/>
          </w:tcPr>
          <w:p w14:paraId="456CC93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4622387" w14:textId="77777777">
        <w:trPr>
          <w:trHeight w:val="288"/>
        </w:trPr>
        <w:tc>
          <w:tcPr>
            <w:tcW w:w="1618" w:type="dxa"/>
            <w:tcBorders>
              <w:top w:val="nil"/>
              <w:left w:val="nil"/>
              <w:bottom w:val="nil"/>
              <w:right w:val="nil"/>
            </w:tcBorders>
            <w:shd w:val="clear" w:color="000000" w:fill="ACB9CA"/>
            <w:noWrap/>
            <w:vAlign w:val="bottom"/>
          </w:tcPr>
          <w:p w14:paraId="575D178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w:t>
            </w:r>
          </w:p>
        </w:tc>
        <w:tc>
          <w:tcPr>
            <w:tcW w:w="207" w:type="dxa"/>
            <w:tcBorders>
              <w:top w:val="nil"/>
              <w:left w:val="nil"/>
              <w:bottom w:val="nil"/>
              <w:right w:val="nil"/>
            </w:tcBorders>
            <w:shd w:val="clear" w:color="000000" w:fill="ACB9CA"/>
            <w:noWrap/>
            <w:vAlign w:val="bottom"/>
          </w:tcPr>
          <w:p w14:paraId="295C814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5CD7E4C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9ans</w:t>
            </w:r>
          </w:p>
        </w:tc>
        <w:tc>
          <w:tcPr>
            <w:tcW w:w="1175" w:type="dxa"/>
            <w:tcBorders>
              <w:top w:val="nil"/>
              <w:left w:val="nil"/>
              <w:bottom w:val="nil"/>
              <w:right w:val="nil"/>
            </w:tcBorders>
            <w:shd w:val="clear" w:color="000000" w:fill="ACB9CA"/>
            <w:noWrap/>
            <w:vAlign w:val="bottom"/>
          </w:tcPr>
          <w:p w14:paraId="617035F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28D2AA0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34D2C1D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A523AE7" w14:textId="77777777">
        <w:trPr>
          <w:trHeight w:val="288"/>
        </w:trPr>
        <w:tc>
          <w:tcPr>
            <w:tcW w:w="1618" w:type="dxa"/>
            <w:tcBorders>
              <w:top w:val="nil"/>
              <w:left w:val="nil"/>
              <w:bottom w:val="nil"/>
              <w:right w:val="nil"/>
            </w:tcBorders>
            <w:shd w:val="clear" w:color="000000" w:fill="ACB9CA"/>
            <w:noWrap/>
            <w:vAlign w:val="bottom"/>
          </w:tcPr>
          <w:p w14:paraId="13F9B927"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6E40CF1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475612A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1ans</w:t>
            </w:r>
          </w:p>
        </w:tc>
        <w:tc>
          <w:tcPr>
            <w:tcW w:w="1175" w:type="dxa"/>
            <w:tcBorders>
              <w:top w:val="nil"/>
              <w:left w:val="nil"/>
              <w:bottom w:val="nil"/>
              <w:right w:val="nil"/>
            </w:tcBorders>
            <w:shd w:val="clear" w:color="000000" w:fill="ACB9CA"/>
            <w:noWrap/>
            <w:vAlign w:val="bottom"/>
          </w:tcPr>
          <w:p w14:paraId="4C167466"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11,80%</w:t>
            </w:r>
          </w:p>
        </w:tc>
        <w:tc>
          <w:tcPr>
            <w:tcW w:w="1816" w:type="dxa"/>
            <w:tcBorders>
              <w:top w:val="nil"/>
              <w:left w:val="nil"/>
              <w:bottom w:val="nil"/>
              <w:right w:val="nil"/>
            </w:tcBorders>
            <w:shd w:val="clear" w:color="000000" w:fill="ACB9CA"/>
            <w:noWrap/>
            <w:vAlign w:val="bottom"/>
          </w:tcPr>
          <w:p w14:paraId="147C3DD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Dt2</w:t>
            </w:r>
          </w:p>
        </w:tc>
        <w:tc>
          <w:tcPr>
            <w:tcW w:w="252" w:type="dxa"/>
            <w:tcBorders>
              <w:top w:val="nil"/>
              <w:left w:val="nil"/>
              <w:bottom w:val="nil"/>
              <w:right w:val="nil"/>
            </w:tcBorders>
            <w:shd w:val="clear" w:color="000000" w:fill="ACB9CA"/>
            <w:noWrap/>
            <w:vAlign w:val="bottom"/>
          </w:tcPr>
          <w:p w14:paraId="7D5CC08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B2643E8" w14:textId="77777777">
        <w:trPr>
          <w:trHeight w:val="288"/>
        </w:trPr>
        <w:tc>
          <w:tcPr>
            <w:tcW w:w="1618" w:type="dxa"/>
            <w:tcBorders>
              <w:top w:val="nil"/>
              <w:left w:val="nil"/>
              <w:bottom w:val="nil"/>
              <w:right w:val="nil"/>
            </w:tcBorders>
            <w:shd w:val="clear" w:color="000000" w:fill="ACB9CA"/>
            <w:noWrap/>
            <w:vAlign w:val="bottom"/>
          </w:tcPr>
          <w:p w14:paraId="6FAA9D89"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2</w:t>
            </w:r>
          </w:p>
        </w:tc>
        <w:tc>
          <w:tcPr>
            <w:tcW w:w="207" w:type="dxa"/>
            <w:tcBorders>
              <w:top w:val="nil"/>
              <w:left w:val="nil"/>
              <w:bottom w:val="nil"/>
              <w:right w:val="nil"/>
            </w:tcBorders>
            <w:shd w:val="clear" w:color="000000" w:fill="ACB9CA"/>
            <w:noWrap/>
            <w:vAlign w:val="bottom"/>
          </w:tcPr>
          <w:p w14:paraId="7F6A870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34CA237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175" w:type="dxa"/>
            <w:tcBorders>
              <w:top w:val="nil"/>
              <w:left w:val="nil"/>
              <w:bottom w:val="nil"/>
              <w:right w:val="nil"/>
            </w:tcBorders>
            <w:shd w:val="clear" w:color="000000" w:fill="ACB9CA"/>
            <w:noWrap/>
            <w:vAlign w:val="bottom"/>
          </w:tcPr>
          <w:p w14:paraId="49BFF1BC" w14:textId="77777777" w:rsidR="00502BB2" w:rsidRDefault="0069123E">
            <w:pPr>
              <w:spacing w:after="0" w:line="240" w:lineRule="auto"/>
              <w:jc w:val="right"/>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12,30%</w:t>
            </w:r>
          </w:p>
        </w:tc>
        <w:tc>
          <w:tcPr>
            <w:tcW w:w="1816" w:type="dxa"/>
            <w:tcBorders>
              <w:top w:val="nil"/>
              <w:left w:val="nil"/>
              <w:bottom w:val="nil"/>
              <w:right w:val="nil"/>
            </w:tcBorders>
            <w:shd w:val="clear" w:color="000000" w:fill="ACB9CA"/>
            <w:noWrap/>
            <w:vAlign w:val="bottom"/>
          </w:tcPr>
          <w:p w14:paraId="63A9A12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7D97FF3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09A318A" w14:textId="77777777">
        <w:trPr>
          <w:trHeight w:val="288"/>
        </w:trPr>
        <w:tc>
          <w:tcPr>
            <w:tcW w:w="1618" w:type="dxa"/>
            <w:tcBorders>
              <w:top w:val="nil"/>
              <w:left w:val="nil"/>
              <w:bottom w:val="nil"/>
              <w:right w:val="nil"/>
            </w:tcBorders>
            <w:shd w:val="clear" w:color="000000" w:fill="ACB9CA"/>
            <w:noWrap/>
            <w:vAlign w:val="bottom"/>
          </w:tcPr>
          <w:p w14:paraId="1608093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Inaugural</w:t>
            </w:r>
          </w:p>
        </w:tc>
        <w:tc>
          <w:tcPr>
            <w:tcW w:w="207" w:type="dxa"/>
            <w:tcBorders>
              <w:top w:val="nil"/>
              <w:left w:val="nil"/>
              <w:bottom w:val="nil"/>
              <w:right w:val="nil"/>
            </w:tcBorders>
            <w:shd w:val="clear" w:color="000000" w:fill="ACB9CA"/>
            <w:noWrap/>
            <w:vAlign w:val="bottom"/>
          </w:tcPr>
          <w:p w14:paraId="4D55D54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302" w:type="dxa"/>
            <w:tcBorders>
              <w:top w:val="nil"/>
              <w:left w:val="nil"/>
              <w:bottom w:val="nil"/>
              <w:right w:val="nil"/>
            </w:tcBorders>
            <w:shd w:val="clear" w:color="000000" w:fill="ACB9CA"/>
            <w:noWrap/>
            <w:vAlign w:val="bottom"/>
          </w:tcPr>
          <w:p w14:paraId="70E3BFE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175" w:type="dxa"/>
            <w:tcBorders>
              <w:top w:val="nil"/>
              <w:left w:val="nil"/>
              <w:bottom w:val="nil"/>
              <w:right w:val="nil"/>
            </w:tcBorders>
            <w:shd w:val="clear" w:color="000000" w:fill="ACB9CA"/>
            <w:noWrap/>
            <w:vAlign w:val="bottom"/>
          </w:tcPr>
          <w:p w14:paraId="6C46338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816" w:type="dxa"/>
            <w:tcBorders>
              <w:top w:val="nil"/>
              <w:left w:val="nil"/>
              <w:bottom w:val="nil"/>
              <w:right w:val="nil"/>
            </w:tcBorders>
            <w:shd w:val="clear" w:color="000000" w:fill="ACB9CA"/>
            <w:noWrap/>
            <w:vAlign w:val="bottom"/>
          </w:tcPr>
          <w:p w14:paraId="5C345CE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252" w:type="dxa"/>
            <w:tcBorders>
              <w:top w:val="nil"/>
              <w:left w:val="nil"/>
              <w:bottom w:val="nil"/>
              <w:right w:val="nil"/>
            </w:tcBorders>
            <w:shd w:val="clear" w:color="000000" w:fill="ACB9CA"/>
            <w:noWrap/>
            <w:vAlign w:val="bottom"/>
          </w:tcPr>
          <w:p w14:paraId="5FDCB1B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bl>
    <w:p w14:paraId="266B4B3C" w14:textId="77777777" w:rsidR="00502BB2" w:rsidRDefault="00502BB2">
      <w:pPr>
        <w:jc w:val="center"/>
        <w:rPr>
          <w:b/>
          <w:bCs/>
        </w:rPr>
      </w:pPr>
    </w:p>
    <w:p w14:paraId="7D31F6F0" w14:textId="77777777" w:rsidR="00502BB2" w:rsidRDefault="00502BB2"/>
    <w:p w14:paraId="00DB5399" w14:textId="77777777" w:rsidR="00502BB2" w:rsidRDefault="00502BB2"/>
    <w:p w14:paraId="7922B22D" w14:textId="77777777" w:rsidR="00502BB2" w:rsidRDefault="00502BB2"/>
    <w:p w14:paraId="431A5EE3" w14:textId="77777777" w:rsidR="00502BB2" w:rsidRDefault="00502BB2"/>
    <w:p w14:paraId="65B6F71D" w14:textId="77777777" w:rsidR="00502BB2" w:rsidRDefault="00502BB2"/>
    <w:p w14:paraId="37330CC5" w14:textId="77777777" w:rsidR="00502BB2" w:rsidRDefault="00502BB2"/>
    <w:p w14:paraId="3C7DB75C" w14:textId="77777777" w:rsidR="00502BB2" w:rsidRDefault="00502BB2"/>
    <w:p w14:paraId="3DF01D70" w14:textId="77777777" w:rsidR="00502BB2" w:rsidRDefault="00502BB2"/>
    <w:p w14:paraId="3FA6236F" w14:textId="77777777" w:rsidR="00502BB2" w:rsidRDefault="00502BB2"/>
    <w:p w14:paraId="63AA39AE" w14:textId="77777777" w:rsidR="00502BB2" w:rsidRDefault="00502BB2"/>
    <w:p w14:paraId="1473B8AE" w14:textId="77777777" w:rsidR="00502BB2" w:rsidRDefault="00502BB2"/>
    <w:p w14:paraId="3680B757" w14:textId="77777777" w:rsidR="00502BB2" w:rsidRDefault="00502BB2"/>
    <w:p w14:paraId="03064D11" w14:textId="77777777" w:rsidR="00502BB2" w:rsidRDefault="00502BB2"/>
    <w:p w14:paraId="23C72B17" w14:textId="77777777" w:rsidR="00502BB2" w:rsidRDefault="00502BB2"/>
    <w:p w14:paraId="2ACCE7C0" w14:textId="77777777" w:rsidR="00502BB2" w:rsidRDefault="00502BB2"/>
    <w:p w14:paraId="11E38BCA" w14:textId="77777777" w:rsidR="00502BB2" w:rsidRDefault="00502BB2"/>
    <w:p w14:paraId="61769275" w14:textId="77777777" w:rsidR="00502BB2" w:rsidRDefault="00502BB2"/>
    <w:p w14:paraId="1CDD76AF" w14:textId="77777777" w:rsidR="00502BB2" w:rsidRDefault="00502BB2"/>
    <w:p w14:paraId="771EEBCA" w14:textId="77777777" w:rsidR="00502BB2" w:rsidRDefault="00502BB2"/>
    <w:p w14:paraId="7848AAE0" w14:textId="77777777" w:rsidR="00502BB2" w:rsidRDefault="00502BB2"/>
    <w:p w14:paraId="16D05561" w14:textId="77777777" w:rsidR="00502BB2" w:rsidRDefault="00502BB2"/>
    <w:p w14:paraId="51682368" w14:textId="77777777" w:rsidR="00502BB2" w:rsidRDefault="00502BB2"/>
    <w:p w14:paraId="23233D53" w14:textId="77777777" w:rsidR="00502BB2" w:rsidRDefault="00502BB2"/>
    <w:p w14:paraId="19F46C40" w14:textId="77777777" w:rsidR="00502BB2" w:rsidRDefault="00502BB2"/>
    <w:p w14:paraId="50E99795" w14:textId="77777777" w:rsidR="00502BB2" w:rsidRDefault="00502BB2"/>
    <w:p w14:paraId="2C692225" w14:textId="77777777" w:rsidR="00502BB2" w:rsidRDefault="00502BB2"/>
    <w:p w14:paraId="584FB850" w14:textId="77777777" w:rsidR="00502BB2" w:rsidRDefault="00502BB2"/>
    <w:p w14:paraId="055EAADC" w14:textId="77777777" w:rsidR="00502BB2" w:rsidRDefault="00502BB2"/>
    <w:tbl>
      <w:tblPr>
        <w:tblpPr w:leftFromText="141" w:rightFromText="141" w:vertAnchor="text" w:horzAnchor="page" w:tblpX="3601" w:tblpY="212"/>
        <w:tblW w:w="5906" w:type="dxa"/>
        <w:tblCellMar>
          <w:left w:w="70" w:type="dxa"/>
          <w:right w:w="70" w:type="dxa"/>
        </w:tblCellMar>
        <w:tblLook w:val="04A0" w:firstRow="1" w:lastRow="0" w:firstColumn="1" w:lastColumn="0" w:noHBand="0" w:noVBand="1"/>
      </w:tblPr>
      <w:tblGrid>
        <w:gridCol w:w="5760"/>
        <w:gridCol w:w="146"/>
      </w:tblGrid>
      <w:tr w:rsidR="00502BB2" w14:paraId="32CB1526" w14:textId="77777777">
        <w:trPr>
          <w:gridAfter w:val="1"/>
          <w:wAfter w:w="146" w:type="dxa"/>
          <w:trHeight w:val="458"/>
        </w:trPr>
        <w:tc>
          <w:tcPr>
            <w:tcW w:w="5760" w:type="dxa"/>
            <w:vMerge w:val="restart"/>
            <w:tcBorders>
              <w:top w:val="nil"/>
              <w:left w:val="nil"/>
              <w:bottom w:val="nil"/>
              <w:right w:val="nil"/>
            </w:tcBorders>
            <w:shd w:val="clear" w:color="000000" w:fill="DBDBDB"/>
            <w:noWrap/>
            <w:vAlign w:val="bottom"/>
          </w:tcPr>
          <w:p w14:paraId="1BCD6C93"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Symptômes</w:t>
            </w:r>
          </w:p>
        </w:tc>
      </w:tr>
      <w:tr w:rsidR="00502BB2" w14:paraId="20E567EA" w14:textId="77777777">
        <w:trPr>
          <w:trHeight w:val="288"/>
        </w:trPr>
        <w:tc>
          <w:tcPr>
            <w:tcW w:w="5760" w:type="dxa"/>
            <w:vMerge/>
            <w:tcBorders>
              <w:top w:val="nil"/>
              <w:left w:val="nil"/>
              <w:bottom w:val="nil"/>
              <w:right w:val="nil"/>
            </w:tcBorders>
            <w:vAlign w:val="center"/>
          </w:tcPr>
          <w:p w14:paraId="33F7332A" w14:textId="77777777" w:rsidR="00502BB2" w:rsidRDefault="00502BB2">
            <w:pPr>
              <w:spacing w:after="0" w:line="240" w:lineRule="auto"/>
              <w:rPr>
                <w:rFonts w:asciiTheme="minorBidi" w:eastAsia="Times New Roman" w:hAnsiTheme="minorBidi"/>
                <w:color w:val="000000"/>
                <w:kern w:val="0"/>
                <w:sz w:val="24"/>
                <w:szCs w:val="24"/>
                <w:lang w:eastAsia="fr-FR"/>
                <w14:ligatures w14:val="none"/>
              </w:rPr>
            </w:pPr>
          </w:p>
        </w:tc>
        <w:tc>
          <w:tcPr>
            <w:tcW w:w="146" w:type="dxa"/>
            <w:tcBorders>
              <w:top w:val="nil"/>
              <w:left w:val="nil"/>
              <w:bottom w:val="nil"/>
              <w:right w:val="nil"/>
            </w:tcBorders>
            <w:noWrap/>
            <w:vAlign w:val="bottom"/>
          </w:tcPr>
          <w:p w14:paraId="2D729C5D" w14:textId="77777777" w:rsidR="00502BB2" w:rsidRDefault="00502BB2">
            <w:pPr>
              <w:spacing w:after="0" w:line="240" w:lineRule="auto"/>
              <w:jc w:val="center"/>
              <w:rPr>
                <w:rFonts w:asciiTheme="minorBidi" w:eastAsia="Times New Roman" w:hAnsiTheme="minorBidi"/>
                <w:color w:val="000000"/>
                <w:kern w:val="0"/>
                <w:sz w:val="24"/>
                <w:szCs w:val="24"/>
                <w:lang w:eastAsia="fr-FR"/>
                <w14:ligatures w14:val="none"/>
              </w:rPr>
            </w:pPr>
          </w:p>
        </w:tc>
      </w:tr>
      <w:tr w:rsidR="00502BB2" w14:paraId="55E0329E" w14:textId="77777777">
        <w:trPr>
          <w:trHeight w:val="288"/>
        </w:trPr>
        <w:tc>
          <w:tcPr>
            <w:tcW w:w="5760" w:type="dxa"/>
            <w:tcBorders>
              <w:top w:val="nil"/>
              <w:left w:val="nil"/>
              <w:bottom w:val="nil"/>
              <w:right w:val="nil"/>
            </w:tcBorders>
            <w:shd w:val="clear" w:color="000000" w:fill="DBDBDB"/>
            <w:noWrap/>
            <w:vAlign w:val="bottom"/>
          </w:tcPr>
          <w:p w14:paraId="1BD04477"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xml:space="preserve">Asthénie, vomissement, diurèse </w:t>
            </w:r>
          </w:p>
        </w:tc>
        <w:tc>
          <w:tcPr>
            <w:tcW w:w="146" w:type="dxa"/>
            <w:vAlign w:val="center"/>
          </w:tcPr>
          <w:p w14:paraId="1FDF5582"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7218289A" w14:textId="77777777">
        <w:trPr>
          <w:trHeight w:val="288"/>
        </w:trPr>
        <w:tc>
          <w:tcPr>
            <w:tcW w:w="5760" w:type="dxa"/>
            <w:tcBorders>
              <w:top w:val="nil"/>
              <w:left w:val="nil"/>
              <w:bottom w:val="nil"/>
              <w:right w:val="nil"/>
            </w:tcBorders>
            <w:shd w:val="clear" w:color="000000" w:fill="DBDBDB"/>
            <w:noWrap/>
            <w:vAlign w:val="bottom"/>
          </w:tcPr>
          <w:p w14:paraId="1502C1CD"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Polypne+respiration</w:t>
            </w:r>
            <w:proofErr w:type="spellEnd"/>
            <w:r>
              <w:rPr>
                <w:rFonts w:asciiTheme="minorBidi" w:eastAsia="Times New Roman" w:hAnsiTheme="minorBidi"/>
                <w:color w:val="000000"/>
                <w:kern w:val="0"/>
                <w:sz w:val="24"/>
                <w:szCs w:val="24"/>
                <w:lang w:eastAsia="fr-FR"/>
                <w14:ligatures w14:val="none"/>
              </w:rPr>
              <w:t xml:space="preserve"> Kusmaul</w:t>
            </w:r>
          </w:p>
        </w:tc>
        <w:tc>
          <w:tcPr>
            <w:tcW w:w="146" w:type="dxa"/>
            <w:vAlign w:val="center"/>
          </w:tcPr>
          <w:p w14:paraId="25D18641"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3FC378AC" w14:textId="77777777">
        <w:trPr>
          <w:trHeight w:val="288"/>
        </w:trPr>
        <w:tc>
          <w:tcPr>
            <w:tcW w:w="5760" w:type="dxa"/>
            <w:tcBorders>
              <w:top w:val="nil"/>
              <w:left w:val="nil"/>
              <w:bottom w:val="nil"/>
              <w:right w:val="nil"/>
            </w:tcBorders>
            <w:shd w:val="clear" w:color="000000" w:fill="DBDBDB"/>
            <w:noWrap/>
            <w:vAlign w:val="bottom"/>
          </w:tcPr>
          <w:p w14:paraId="23DA969B"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Douleur-abdominal+nause+vomissement+dyspne+rs-kussmaul</w:t>
            </w:r>
            <w:proofErr w:type="spellEnd"/>
          </w:p>
        </w:tc>
        <w:tc>
          <w:tcPr>
            <w:tcW w:w="146" w:type="dxa"/>
            <w:vAlign w:val="center"/>
          </w:tcPr>
          <w:p w14:paraId="13D07920"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7A4FEC79" w14:textId="77777777">
        <w:trPr>
          <w:trHeight w:val="288"/>
        </w:trPr>
        <w:tc>
          <w:tcPr>
            <w:tcW w:w="5760" w:type="dxa"/>
            <w:tcBorders>
              <w:top w:val="nil"/>
              <w:left w:val="nil"/>
              <w:bottom w:val="nil"/>
              <w:right w:val="nil"/>
            </w:tcBorders>
            <w:shd w:val="clear" w:color="000000" w:fill="DBDBDB"/>
            <w:noWrap/>
            <w:vAlign w:val="bottom"/>
          </w:tcPr>
          <w:p w14:paraId="48F9333A"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Grippe+detress</w:t>
            </w:r>
            <w:proofErr w:type="spellEnd"/>
            <w:r>
              <w:rPr>
                <w:rFonts w:asciiTheme="minorBidi" w:eastAsia="Times New Roman" w:hAnsiTheme="minorBidi"/>
                <w:color w:val="000000"/>
                <w:kern w:val="0"/>
                <w:sz w:val="24"/>
                <w:szCs w:val="24"/>
                <w:lang w:eastAsia="fr-FR"/>
                <w14:ligatures w14:val="none"/>
              </w:rPr>
              <w:t xml:space="preserve"> </w:t>
            </w:r>
            <w:proofErr w:type="spellStart"/>
            <w:r>
              <w:rPr>
                <w:rFonts w:asciiTheme="minorBidi" w:eastAsia="Times New Roman" w:hAnsiTheme="minorBidi"/>
                <w:color w:val="000000"/>
                <w:kern w:val="0"/>
                <w:sz w:val="24"/>
                <w:szCs w:val="24"/>
                <w:lang w:eastAsia="fr-FR"/>
                <w14:ligatures w14:val="none"/>
              </w:rPr>
              <w:t>respiratoire+inf</w:t>
            </w:r>
            <w:proofErr w:type="spellEnd"/>
            <w:r>
              <w:rPr>
                <w:rFonts w:asciiTheme="minorBidi" w:eastAsia="Times New Roman" w:hAnsiTheme="minorBidi"/>
                <w:color w:val="000000"/>
                <w:kern w:val="0"/>
                <w:sz w:val="24"/>
                <w:szCs w:val="24"/>
                <w:lang w:eastAsia="fr-FR"/>
                <w14:ligatures w14:val="none"/>
              </w:rPr>
              <w:t>, vaginal dyspnée</w:t>
            </w:r>
          </w:p>
        </w:tc>
        <w:tc>
          <w:tcPr>
            <w:tcW w:w="146" w:type="dxa"/>
            <w:vAlign w:val="center"/>
          </w:tcPr>
          <w:p w14:paraId="1B2F229F"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11B24836" w14:textId="77777777">
        <w:trPr>
          <w:trHeight w:val="288"/>
        </w:trPr>
        <w:tc>
          <w:tcPr>
            <w:tcW w:w="5760" w:type="dxa"/>
            <w:tcBorders>
              <w:top w:val="nil"/>
              <w:left w:val="nil"/>
              <w:bottom w:val="nil"/>
              <w:right w:val="nil"/>
            </w:tcBorders>
            <w:shd w:val="clear" w:color="000000" w:fill="DBDBDB"/>
            <w:noWrap/>
            <w:vAlign w:val="bottom"/>
          </w:tcPr>
          <w:p w14:paraId="672FDF6E"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Grippe+deshydratation+polypne</w:t>
            </w:r>
            <w:proofErr w:type="spellEnd"/>
          </w:p>
        </w:tc>
        <w:tc>
          <w:tcPr>
            <w:tcW w:w="146" w:type="dxa"/>
            <w:vAlign w:val="center"/>
          </w:tcPr>
          <w:p w14:paraId="329B7A5E"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437B2E5F" w14:textId="77777777">
        <w:trPr>
          <w:trHeight w:val="288"/>
        </w:trPr>
        <w:tc>
          <w:tcPr>
            <w:tcW w:w="5760" w:type="dxa"/>
            <w:tcBorders>
              <w:top w:val="nil"/>
              <w:left w:val="nil"/>
              <w:bottom w:val="nil"/>
              <w:right w:val="nil"/>
            </w:tcBorders>
            <w:shd w:val="clear" w:color="000000" w:fill="DBDBDB"/>
            <w:noWrap/>
            <w:vAlign w:val="bottom"/>
          </w:tcPr>
          <w:p w14:paraId="7F88EDD8"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46" w:type="dxa"/>
            <w:vAlign w:val="center"/>
          </w:tcPr>
          <w:p w14:paraId="43197A72"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080456C7" w14:textId="77777777">
        <w:trPr>
          <w:trHeight w:val="288"/>
        </w:trPr>
        <w:tc>
          <w:tcPr>
            <w:tcW w:w="5760" w:type="dxa"/>
            <w:tcBorders>
              <w:top w:val="nil"/>
              <w:left w:val="nil"/>
              <w:bottom w:val="nil"/>
              <w:right w:val="nil"/>
            </w:tcBorders>
            <w:shd w:val="clear" w:color="000000" w:fill="DBDBDB"/>
            <w:noWrap/>
            <w:vAlign w:val="bottom"/>
          </w:tcPr>
          <w:p w14:paraId="67AECCE0"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xml:space="preserve">Douleur </w:t>
            </w:r>
            <w:proofErr w:type="spellStart"/>
            <w:r>
              <w:rPr>
                <w:rFonts w:asciiTheme="minorBidi" w:eastAsia="Times New Roman" w:hAnsiTheme="minorBidi"/>
                <w:color w:val="000000"/>
                <w:kern w:val="0"/>
                <w:sz w:val="24"/>
                <w:szCs w:val="24"/>
                <w:lang w:eastAsia="fr-FR"/>
                <w14:ligatures w14:val="none"/>
              </w:rPr>
              <w:t>abdominale+vomissement+detress</w:t>
            </w:r>
            <w:proofErr w:type="spellEnd"/>
            <w:r>
              <w:rPr>
                <w:rFonts w:asciiTheme="minorBidi" w:eastAsia="Times New Roman" w:hAnsiTheme="minorBidi"/>
                <w:color w:val="000000"/>
                <w:kern w:val="0"/>
                <w:sz w:val="24"/>
                <w:szCs w:val="24"/>
                <w:lang w:eastAsia="fr-FR"/>
                <w14:ligatures w14:val="none"/>
              </w:rPr>
              <w:t xml:space="preserve"> respiratoire</w:t>
            </w:r>
          </w:p>
        </w:tc>
        <w:tc>
          <w:tcPr>
            <w:tcW w:w="146" w:type="dxa"/>
            <w:vAlign w:val="center"/>
          </w:tcPr>
          <w:p w14:paraId="37F68976"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723910AB" w14:textId="77777777">
        <w:trPr>
          <w:trHeight w:val="288"/>
        </w:trPr>
        <w:tc>
          <w:tcPr>
            <w:tcW w:w="5760" w:type="dxa"/>
            <w:tcBorders>
              <w:top w:val="nil"/>
              <w:left w:val="nil"/>
              <w:bottom w:val="nil"/>
              <w:right w:val="nil"/>
            </w:tcBorders>
            <w:shd w:val="clear" w:color="000000" w:fill="DBDBDB"/>
            <w:noWrap/>
            <w:vAlign w:val="bottom"/>
          </w:tcPr>
          <w:p w14:paraId="2981BAC7"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46" w:type="dxa"/>
            <w:vAlign w:val="center"/>
          </w:tcPr>
          <w:p w14:paraId="70E73DC1"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2982CB60" w14:textId="77777777">
        <w:trPr>
          <w:trHeight w:val="288"/>
        </w:trPr>
        <w:tc>
          <w:tcPr>
            <w:tcW w:w="5760" w:type="dxa"/>
            <w:tcBorders>
              <w:top w:val="nil"/>
              <w:left w:val="nil"/>
              <w:bottom w:val="nil"/>
              <w:right w:val="nil"/>
            </w:tcBorders>
            <w:shd w:val="clear" w:color="000000" w:fill="DBDBDB"/>
            <w:noWrap/>
            <w:vAlign w:val="bottom"/>
          </w:tcPr>
          <w:p w14:paraId="12415E32"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Asténien-vomissement-polydipsie-douleur abdominal</w:t>
            </w:r>
          </w:p>
        </w:tc>
        <w:tc>
          <w:tcPr>
            <w:tcW w:w="146" w:type="dxa"/>
            <w:vAlign w:val="center"/>
          </w:tcPr>
          <w:p w14:paraId="70C75131"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53CD7DDB" w14:textId="77777777">
        <w:trPr>
          <w:trHeight w:val="288"/>
        </w:trPr>
        <w:tc>
          <w:tcPr>
            <w:tcW w:w="5760" w:type="dxa"/>
            <w:tcBorders>
              <w:top w:val="nil"/>
              <w:left w:val="nil"/>
              <w:bottom w:val="nil"/>
              <w:right w:val="nil"/>
            </w:tcBorders>
            <w:shd w:val="clear" w:color="000000" w:fill="DBDBDB"/>
            <w:noWrap/>
            <w:vAlign w:val="bottom"/>
          </w:tcPr>
          <w:p w14:paraId="19C0DE0C"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46" w:type="dxa"/>
            <w:vAlign w:val="center"/>
          </w:tcPr>
          <w:p w14:paraId="1713205E"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7D11E278" w14:textId="77777777">
        <w:trPr>
          <w:trHeight w:val="288"/>
        </w:trPr>
        <w:tc>
          <w:tcPr>
            <w:tcW w:w="5760" w:type="dxa"/>
            <w:tcBorders>
              <w:top w:val="nil"/>
              <w:left w:val="nil"/>
              <w:bottom w:val="nil"/>
              <w:right w:val="nil"/>
            </w:tcBorders>
            <w:shd w:val="clear" w:color="000000" w:fill="DBDBDB"/>
            <w:noWrap/>
            <w:vAlign w:val="bottom"/>
          </w:tcPr>
          <w:p w14:paraId="0D620DE2"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46" w:type="dxa"/>
            <w:vAlign w:val="center"/>
          </w:tcPr>
          <w:p w14:paraId="05BB49FB"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70B9E271" w14:textId="77777777">
        <w:trPr>
          <w:trHeight w:val="288"/>
        </w:trPr>
        <w:tc>
          <w:tcPr>
            <w:tcW w:w="5760" w:type="dxa"/>
            <w:tcBorders>
              <w:top w:val="nil"/>
              <w:left w:val="nil"/>
              <w:bottom w:val="nil"/>
              <w:right w:val="nil"/>
            </w:tcBorders>
            <w:shd w:val="clear" w:color="000000" w:fill="DBDBDB"/>
            <w:noWrap/>
            <w:vAlign w:val="bottom"/>
          </w:tcPr>
          <w:p w14:paraId="322A0FF4"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Asthenie+vertige</w:t>
            </w:r>
            <w:proofErr w:type="spellEnd"/>
          </w:p>
        </w:tc>
        <w:tc>
          <w:tcPr>
            <w:tcW w:w="146" w:type="dxa"/>
            <w:vAlign w:val="center"/>
          </w:tcPr>
          <w:p w14:paraId="12B2CEF2"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4A774767" w14:textId="77777777">
        <w:trPr>
          <w:trHeight w:val="288"/>
        </w:trPr>
        <w:tc>
          <w:tcPr>
            <w:tcW w:w="5760" w:type="dxa"/>
            <w:tcBorders>
              <w:top w:val="nil"/>
              <w:left w:val="nil"/>
              <w:bottom w:val="nil"/>
              <w:right w:val="nil"/>
            </w:tcBorders>
            <w:shd w:val="clear" w:color="000000" w:fill="DBDBDB"/>
            <w:noWrap/>
            <w:vAlign w:val="bottom"/>
          </w:tcPr>
          <w:p w14:paraId="263102A9"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Douleurabdominal+vomissement+polydepsie</w:t>
            </w:r>
            <w:proofErr w:type="spellEnd"/>
          </w:p>
        </w:tc>
        <w:tc>
          <w:tcPr>
            <w:tcW w:w="146" w:type="dxa"/>
            <w:vAlign w:val="center"/>
          </w:tcPr>
          <w:p w14:paraId="413FDFBE"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2A3519C9" w14:textId="77777777">
        <w:trPr>
          <w:trHeight w:val="288"/>
        </w:trPr>
        <w:tc>
          <w:tcPr>
            <w:tcW w:w="5760" w:type="dxa"/>
            <w:tcBorders>
              <w:top w:val="nil"/>
              <w:left w:val="nil"/>
              <w:bottom w:val="nil"/>
              <w:right w:val="nil"/>
            </w:tcBorders>
            <w:shd w:val="clear" w:color="000000" w:fill="DBDBDB"/>
            <w:noWrap/>
            <w:vAlign w:val="bottom"/>
          </w:tcPr>
          <w:p w14:paraId="5CFB09EA"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Eupnéique</w:t>
            </w:r>
          </w:p>
        </w:tc>
        <w:tc>
          <w:tcPr>
            <w:tcW w:w="146" w:type="dxa"/>
            <w:vAlign w:val="center"/>
          </w:tcPr>
          <w:p w14:paraId="25B84B7F"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546A1D04" w14:textId="77777777">
        <w:trPr>
          <w:trHeight w:val="288"/>
        </w:trPr>
        <w:tc>
          <w:tcPr>
            <w:tcW w:w="5760" w:type="dxa"/>
            <w:tcBorders>
              <w:top w:val="nil"/>
              <w:left w:val="nil"/>
              <w:bottom w:val="nil"/>
              <w:right w:val="nil"/>
            </w:tcBorders>
            <w:shd w:val="clear" w:color="000000" w:fill="DBDBDB"/>
            <w:noWrap/>
            <w:vAlign w:val="bottom"/>
          </w:tcPr>
          <w:p w14:paraId="522AF4E8"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État grippal douleur abdominal vomissement</w:t>
            </w:r>
          </w:p>
        </w:tc>
        <w:tc>
          <w:tcPr>
            <w:tcW w:w="146" w:type="dxa"/>
            <w:vAlign w:val="center"/>
          </w:tcPr>
          <w:p w14:paraId="55024DA9"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27E851D5" w14:textId="77777777">
        <w:trPr>
          <w:trHeight w:val="288"/>
        </w:trPr>
        <w:tc>
          <w:tcPr>
            <w:tcW w:w="5760" w:type="dxa"/>
            <w:tcBorders>
              <w:top w:val="nil"/>
              <w:left w:val="nil"/>
              <w:bottom w:val="nil"/>
              <w:right w:val="nil"/>
            </w:tcBorders>
            <w:shd w:val="clear" w:color="000000" w:fill="DBDBDB"/>
            <w:noWrap/>
            <w:vAlign w:val="bottom"/>
          </w:tcPr>
          <w:p w14:paraId="05E80D61"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Anorexie infection génitale</w:t>
            </w:r>
          </w:p>
        </w:tc>
        <w:tc>
          <w:tcPr>
            <w:tcW w:w="146" w:type="dxa"/>
            <w:vAlign w:val="center"/>
          </w:tcPr>
          <w:p w14:paraId="3255FD6F"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3375311C" w14:textId="77777777">
        <w:trPr>
          <w:trHeight w:val="288"/>
        </w:trPr>
        <w:tc>
          <w:tcPr>
            <w:tcW w:w="5760" w:type="dxa"/>
            <w:tcBorders>
              <w:top w:val="nil"/>
              <w:left w:val="nil"/>
              <w:bottom w:val="nil"/>
              <w:right w:val="nil"/>
            </w:tcBorders>
            <w:shd w:val="clear" w:color="000000" w:fill="DBDBDB"/>
            <w:noWrap/>
            <w:vAlign w:val="bottom"/>
          </w:tcPr>
          <w:p w14:paraId="16982F4C"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Asthenie+vomissement+douleur</w:t>
            </w:r>
            <w:proofErr w:type="spellEnd"/>
            <w:r>
              <w:rPr>
                <w:rFonts w:asciiTheme="minorBidi" w:eastAsia="Times New Roman" w:hAnsiTheme="minorBidi"/>
                <w:color w:val="000000"/>
                <w:kern w:val="0"/>
                <w:sz w:val="24"/>
                <w:szCs w:val="24"/>
                <w:lang w:eastAsia="fr-FR"/>
                <w14:ligatures w14:val="none"/>
              </w:rPr>
              <w:t xml:space="preserve"> abdominale+ arrêt d’insuline</w:t>
            </w:r>
          </w:p>
        </w:tc>
        <w:tc>
          <w:tcPr>
            <w:tcW w:w="146" w:type="dxa"/>
            <w:vAlign w:val="center"/>
          </w:tcPr>
          <w:p w14:paraId="675B450F"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5F9F617F" w14:textId="77777777">
        <w:trPr>
          <w:trHeight w:val="288"/>
        </w:trPr>
        <w:tc>
          <w:tcPr>
            <w:tcW w:w="5760" w:type="dxa"/>
            <w:tcBorders>
              <w:top w:val="nil"/>
              <w:left w:val="nil"/>
              <w:bottom w:val="nil"/>
              <w:right w:val="nil"/>
            </w:tcBorders>
            <w:shd w:val="clear" w:color="000000" w:fill="DBDBDB"/>
            <w:noWrap/>
            <w:vAlign w:val="bottom"/>
          </w:tcPr>
          <w:p w14:paraId="31E9BECA"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Asthenie+polyurie+polydepsie</w:t>
            </w:r>
            <w:proofErr w:type="spellEnd"/>
          </w:p>
        </w:tc>
        <w:tc>
          <w:tcPr>
            <w:tcW w:w="146" w:type="dxa"/>
            <w:vAlign w:val="center"/>
          </w:tcPr>
          <w:p w14:paraId="6F490706"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03B9016C" w14:textId="77777777">
        <w:trPr>
          <w:trHeight w:val="288"/>
        </w:trPr>
        <w:tc>
          <w:tcPr>
            <w:tcW w:w="5760" w:type="dxa"/>
            <w:tcBorders>
              <w:top w:val="nil"/>
              <w:left w:val="nil"/>
              <w:bottom w:val="nil"/>
              <w:right w:val="nil"/>
            </w:tcBorders>
            <w:shd w:val="clear" w:color="000000" w:fill="DBDBDB"/>
            <w:noWrap/>
            <w:vAlign w:val="bottom"/>
          </w:tcPr>
          <w:p w14:paraId="006C29C5"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Fievre+vomissement+alteration</w:t>
            </w:r>
            <w:proofErr w:type="spellEnd"/>
            <w:r>
              <w:rPr>
                <w:rFonts w:asciiTheme="minorBidi" w:eastAsia="Times New Roman" w:hAnsiTheme="minorBidi"/>
                <w:color w:val="000000"/>
                <w:kern w:val="0"/>
                <w:sz w:val="24"/>
                <w:szCs w:val="24"/>
                <w:lang w:eastAsia="fr-FR"/>
                <w14:ligatures w14:val="none"/>
              </w:rPr>
              <w:t xml:space="preserve"> de l’Etat général</w:t>
            </w:r>
          </w:p>
        </w:tc>
        <w:tc>
          <w:tcPr>
            <w:tcW w:w="146" w:type="dxa"/>
            <w:vAlign w:val="center"/>
          </w:tcPr>
          <w:p w14:paraId="508B1BDE"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51BB2640" w14:textId="77777777">
        <w:trPr>
          <w:trHeight w:val="288"/>
        </w:trPr>
        <w:tc>
          <w:tcPr>
            <w:tcW w:w="5760" w:type="dxa"/>
            <w:tcBorders>
              <w:top w:val="nil"/>
              <w:left w:val="nil"/>
              <w:bottom w:val="nil"/>
              <w:right w:val="nil"/>
            </w:tcBorders>
            <w:shd w:val="clear" w:color="000000" w:fill="DBDBDB"/>
            <w:noWrap/>
            <w:vAlign w:val="bottom"/>
          </w:tcPr>
          <w:p w14:paraId="6B784F25"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Asthenie+douleurs</w:t>
            </w:r>
            <w:proofErr w:type="spellEnd"/>
            <w:r>
              <w:rPr>
                <w:rFonts w:asciiTheme="minorBidi" w:eastAsia="Times New Roman" w:hAnsiTheme="minorBidi"/>
                <w:color w:val="000000"/>
                <w:kern w:val="0"/>
                <w:sz w:val="24"/>
                <w:szCs w:val="24"/>
                <w:lang w:eastAsia="fr-FR"/>
                <w14:ligatures w14:val="none"/>
              </w:rPr>
              <w:t xml:space="preserve"> abdominal perte de poids</w:t>
            </w:r>
          </w:p>
        </w:tc>
        <w:tc>
          <w:tcPr>
            <w:tcW w:w="146" w:type="dxa"/>
            <w:vAlign w:val="center"/>
          </w:tcPr>
          <w:p w14:paraId="01812027"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722E3B6F" w14:textId="77777777">
        <w:trPr>
          <w:trHeight w:val="288"/>
        </w:trPr>
        <w:tc>
          <w:tcPr>
            <w:tcW w:w="5760" w:type="dxa"/>
            <w:tcBorders>
              <w:top w:val="nil"/>
              <w:left w:val="nil"/>
              <w:bottom w:val="nil"/>
              <w:right w:val="nil"/>
            </w:tcBorders>
            <w:shd w:val="clear" w:color="000000" w:fill="DBDBDB"/>
            <w:noWrap/>
            <w:vAlign w:val="bottom"/>
          </w:tcPr>
          <w:p w14:paraId="13B733EE"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Amegrissement+polyurie+polydepsie+asthenie</w:t>
            </w:r>
            <w:proofErr w:type="spellEnd"/>
          </w:p>
        </w:tc>
        <w:tc>
          <w:tcPr>
            <w:tcW w:w="146" w:type="dxa"/>
            <w:vAlign w:val="center"/>
          </w:tcPr>
          <w:p w14:paraId="764FE5C2"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29DD5188" w14:textId="77777777">
        <w:trPr>
          <w:trHeight w:val="288"/>
        </w:trPr>
        <w:tc>
          <w:tcPr>
            <w:tcW w:w="5760" w:type="dxa"/>
            <w:tcBorders>
              <w:top w:val="nil"/>
              <w:left w:val="nil"/>
              <w:bottom w:val="nil"/>
              <w:right w:val="nil"/>
            </w:tcBorders>
            <w:shd w:val="clear" w:color="000000" w:fill="DBDBDB"/>
            <w:noWrap/>
            <w:vAlign w:val="bottom"/>
          </w:tcPr>
          <w:p w14:paraId="72AB0A2E"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xml:space="preserve">État </w:t>
            </w:r>
            <w:proofErr w:type="spellStart"/>
            <w:r>
              <w:rPr>
                <w:rFonts w:asciiTheme="minorBidi" w:eastAsia="Times New Roman" w:hAnsiTheme="minorBidi"/>
                <w:color w:val="000000"/>
                <w:kern w:val="0"/>
                <w:sz w:val="24"/>
                <w:szCs w:val="24"/>
                <w:lang w:eastAsia="fr-FR"/>
                <w14:ligatures w14:val="none"/>
              </w:rPr>
              <w:t>grippal+asthenie+polyurie+poludepsie-eupneique</w:t>
            </w:r>
            <w:proofErr w:type="spellEnd"/>
          </w:p>
        </w:tc>
        <w:tc>
          <w:tcPr>
            <w:tcW w:w="146" w:type="dxa"/>
            <w:vAlign w:val="center"/>
          </w:tcPr>
          <w:p w14:paraId="26B28677"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2A23DDBA" w14:textId="77777777">
        <w:trPr>
          <w:trHeight w:val="288"/>
        </w:trPr>
        <w:tc>
          <w:tcPr>
            <w:tcW w:w="5760" w:type="dxa"/>
            <w:tcBorders>
              <w:top w:val="nil"/>
              <w:left w:val="nil"/>
              <w:bottom w:val="nil"/>
              <w:right w:val="nil"/>
            </w:tcBorders>
            <w:shd w:val="clear" w:color="000000" w:fill="DBDBDB"/>
            <w:noWrap/>
            <w:vAlign w:val="bottom"/>
          </w:tcPr>
          <w:p w14:paraId="2A8DA121"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46" w:type="dxa"/>
            <w:vAlign w:val="center"/>
          </w:tcPr>
          <w:p w14:paraId="166B36D9"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45EE2738" w14:textId="77777777">
        <w:trPr>
          <w:trHeight w:val="288"/>
        </w:trPr>
        <w:tc>
          <w:tcPr>
            <w:tcW w:w="5760" w:type="dxa"/>
            <w:tcBorders>
              <w:top w:val="nil"/>
              <w:left w:val="nil"/>
              <w:bottom w:val="nil"/>
              <w:right w:val="nil"/>
            </w:tcBorders>
            <w:shd w:val="clear" w:color="000000" w:fill="DBDBDB"/>
            <w:noWrap/>
            <w:vAlign w:val="bottom"/>
          </w:tcPr>
          <w:p w14:paraId="3CFDF991"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Diarrhe+vomissement</w:t>
            </w:r>
            <w:proofErr w:type="spellEnd"/>
          </w:p>
        </w:tc>
        <w:tc>
          <w:tcPr>
            <w:tcW w:w="146" w:type="dxa"/>
            <w:vAlign w:val="center"/>
          </w:tcPr>
          <w:p w14:paraId="765C1713"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39CADF25" w14:textId="77777777">
        <w:trPr>
          <w:trHeight w:val="288"/>
        </w:trPr>
        <w:tc>
          <w:tcPr>
            <w:tcW w:w="5760" w:type="dxa"/>
            <w:tcBorders>
              <w:top w:val="nil"/>
              <w:left w:val="nil"/>
              <w:bottom w:val="nil"/>
              <w:right w:val="nil"/>
            </w:tcBorders>
            <w:shd w:val="clear" w:color="000000" w:fill="DBDBDB"/>
            <w:noWrap/>
            <w:vAlign w:val="bottom"/>
          </w:tcPr>
          <w:p w14:paraId="5C6357CC"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Nause-vomissement+douleurs</w:t>
            </w:r>
            <w:proofErr w:type="spellEnd"/>
            <w:r>
              <w:rPr>
                <w:rFonts w:asciiTheme="minorBidi" w:eastAsia="Times New Roman" w:hAnsiTheme="minorBidi"/>
                <w:color w:val="000000"/>
                <w:kern w:val="0"/>
                <w:sz w:val="24"/>
                <w:szCs w:val="24"/>
                <w:lang w:eastAsia="fr-FR"/>
                <w14:ligatures w14:val="none"/>
              </w:rPr>
              <w:t xml:space="preserve"> abdominal-polypnée</w:t>
            </w:r>
          </w:p>
        </w:tc>
        <w:tc>
          <w:tcPr>
            <w:tcW w:w="146" w:type="dxa"/>
            <w:vAlign w:val="center"/>
          </w:tcPr>
          <w:p w14:paraId="6A2C1FBF"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36E83739" w14:textId="77777777">
        <w:trPr>
          <w:trHeight w:val="288"/>
        </w:trPr>
        <w:tc>
          <w:tcPr>
            <w:tcW w:w="5760" w:type="dxa"/>
            <w:tcBorders>
              <w:top w:val="nil"/>
              <w:left w:val="nil"/>
              <w:bottom w:val="nil"/>
              <w:right w:val="nil"/>
            </w:tcBorders>
            <w:shd w:val="clear" w:color="000000" w:fill="DBDBDB"/>
            <w:noWrap/>
            <w:vAlign w:val="bottom"/>
          </w:tcPr>
          <w:p w14:paraId="36DF527A"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Nausée-vomissement</w:t>
            </w:r>
          </w:p>
        </w:tc>
        <w:tc>
          <w:tcPr>
            <w:tcW w:w="146" w:type="dxa"/>
            <w:vAlign w:val="center"/>
          </w:tcPr>
          <w:p w14:paraId="306BE977"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177651E4" w14:textId="77777777">
        <w:trPr>
          <w:trHeight w:val="288"/>
        </w:trPr>
        <w:tc>
          <w:tcPr>
            <w:tcW w:w="5760" w:type="dxa"/>
            <w:tcBorders>
              <w:top w:val="nil"/>
              <w:left w:val="nil"/>
              <w:bottom w:val="nil"/>
              <w:right w:val="nil"/>
            </w:tcBorders>
            <w:shd w:val="clear" w:color="000000" w:fill="DBDBDB"/>
            <w:noWrap/>
            <w:vAlign w:val="bottom"/>
          </w:tcPr>
          <w:p w14:paraId="059B5A01"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46" w:type="dxa"/>
            <w:vAlign w:val="center"/>
          </w:tcPr>
          <w:p w14:paraId="33D8991A"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37F6E28A" w14:textId="77777777">
        <w:trPr>
          <w:trHeight w:val="288"/>
        </w:trPr>
        <w:tc>
          <w:tcPr>
            <w:tcW w:w="5760" w:type="dxa"/>
            <w:tcBorders>
              <w:top w:val="nil"/>
              <w:left w:val="nil"/>
              <w:bottom w:val="nil"/>
              <w:right w:val="nil"/>
            </w:tcBorders>
            <w:shd w:val="clear" w:color="000000" w:fill="DBDBDB"/>
            <w:noWrap/>
            <w:vAlign w:val="bottom"/>
          </w:tcPr>
          <w:p w14:paraId="31304A55"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Asthenie+diarrhe+etat</w:t>
            </w:r>
            <w:proofErr w:type="spellEnd"/>
            <w:r>
              <w:rPr>
                <w:rFonts w:asciiTheme="minorBidi" w:eastAsia="Times New Roman" w:hAnsiTheme="minorBidi"/>
                <w:color w:val="000000"/>
                <w:kern w:val="0"/>
                <w:sz w:val="24"/>
                <w:szCs w:val="24"/>
                <w:lang w:eastAsia="fr-FR"/>
                <w14:ligatures w14:val="none"/>
              </w:rPr>
              <w:t xml:space="preserve"> grippal</w:t>
            </w:r>
          </w:p>
        </w:tc>
        <w:tc>
          <w:tcPr>
            <w:tcW w:w="146" w:type="dxa"/>
            <w:vAlign w:val="center"/>
          </w:tcPr>
          <w:p w14:paraId="24A062B1"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2E318E6F" w14:textId="77777777">
        <w:trPr>
          <w:trHeight w:val="288"/>
        </w:trPr>
        <w:tc>
          <w:tcPr>
            <w:tcW w:w="5760" w:type="dxa"/>
            <w:tcBorders>
              <w:top w:val="nil"/>
              <w:left w:val="nil"/>
              <w:bottom w:val="nil"/>
              <w:right w:val="nil"/>
            </w:tcBorders>
            <w:shd w:val="clear" w:color="000000" w:fill="DBDBDB"/>
            <w:noWrap/>
            <w:vAlign w:val="bottom"/>
          </w:tcPr>
          <w:p w14:paraId="155D917E"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Asthenie+nausee+vomissement+douleurs</w:t>
            </w:r>
            <w:proofErr w:type="spellEnd"/>
            <w:r>
              <w:rPr>
                <w:rFonts w:asciiTheme="minorBidi" w:eastAsia="Times New Roman" w:hAnsiTheme="minorBidi"/>
                <w:color w:val="000000"/>
                <w:kern w:val="0"/>
                <w:sz w:val="24"/>
                <w:szCs w:val="24"/>
                <w:lang w:eastAsia="fr-FR"/>
                <w14:ligatures w14:val="none"/>
              </w:rPr>
              <w:t xml:space="preserve"> abdominal</w:t>
            </w:r>
          </w:p>
        </w:tc>
        <w:tc>
          <w:tcPr>
            <w:tcW w:w="146" w:type="dxa"/>
            <w:vAlign w:val="center"/>
          </w:tcPr>
          <w:p w14:paraId="41A33B95"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005A451D" w14:textId="77777777">
        <w:trPr>
          <w:trHeight w:val="288"/>
        </w:trPr>
        <w:tc>
          <w:tcPr>
            <w:tcW w:w="5760" w:type="dxa"/>
            <w:tcBorders>
              <w:top w:val="nil"/>
              <w:left w:val="nil"/>
              <w:bottom w:val="nil"/>
              <w:right w:val="nil"/>
            </w:tcBorders>
            <w:shd w:val="clear" w:color="000000" w:fill="DBDBDB"/>
            <w:noWrap/>
            <w:vAlign w:val="bottom"/>
          </w:tcPr>
          <w:p w14:paraId="3E3200DB"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Diabète néglige</w:t>
            </w:r>
          </w:p>
        </w:tc>
        <w:tc>
          <w:tcPr>
            <w:tcW w:w="146" w:type="dxa"/>
            <w:vAlign w:val="center"/>
          </w:tcPr>
          <w:p w14:paraId="1F57A4CE"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65534CE2" w14:textId="77777777">
        <w:trPr>
          <w:trHeight w:val="288"/>
        </w:trPr>
        <w:tc>
          <w:tcPr>
            <w:tcW w:w="5760" w:type="dxa"/>
            <w:tcBorders>
              <w:top w:val="nil"/>
              <w:left w:val="nil"/>
              <w:bottom w:val="nil"/>
              <w:right w:val="nil"/>
            </w:tcBorders>
            <w:shd w:val="clear" w:color="000000" w:fill="DBDBDB"/>
            <w:noWrap/>
            <w:vAlign w:val="bottom"/>
          </w:tcPr>
          <w:p w14:paraId="221A0795"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État grippal</w:t>
            </w:r>
          </w:p>
        </w:tc>
        <w:tc>
          <w:tcPr>
            <w:tcW w:w="146" w:type="dxa"/>
            <w:vAlign w:val="center"/>
          </w:tcPr>
          <w:p w14:paraId="5BA1B2C0"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r w:rsidR="00502BB2" w14:paraId="2EDE6C79" w14:textId="77777777">
        <w:trPr>
          <w:trHeight w:val="288"/>
        </w:trPr>
        <w:tc>
          <w:tcPr>
            <w:tcW w:w="5760" w:type="dxa"/>
            <w:tcBorders>
              <w:top w:val="nil"/>
              <w:left w:val="nil"/>
              <w:bottom w:val="nil"/>
              <w:right w:val="nil"/>
            </w:tcBorders>
            <w:shd w:val="clear" w:color="000000" w:fill="DBDBDB"/>
            <w:noWrap/>
            <w:vAlign w:val="bottom"/>
          </w:tcPr>
          <w:p w14:paraId="47B971D6"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Haleine cétonique</w:t>
            </w:r>
          </w:p>
        </w:tc>
        <w:tc>
          <w:tcPr>
            <w:tcW w:w="146" w:type="dxa"/>
            <w:vAlign w:val="center"/>
          </w:tcPr>
          <w:p w14:paraId="3051029F" w14:textId="77777777" w:rsidR="00502BB2" w:rsidRDefault="00502BB2">
            <w:pPr>
              <w:spacing w:after="0" w:line="240" w:lineRule="auto"/>
              <w:rPr>
                <w:rFonts w:asciiTheme="minorBidi" w:eastAsia="Times New Roman" w:hAnsiTheme="minorBidi"/>
                <w:kern w:val="0"/>
                <w:sz w:val="24"/>
                <w:szCs w:val="24"/>
                <w:lang w:eastAsia="fr-FR"/>
                <w14:ligatures w14:val="none"/>
              </w:rPr>
            </w:pPr>
          </w:p>
        </w:tc>
      </w:tr>
    </w:tbl>
    <w:p w14:paraId="25F42836" w14:textId="77777777" w:rsidR="00502BB2" w:rsidRDefault="00502BB2"/>
    <w:p w14:paraId="22B779AF" w14:textId="77777777" w:rsidR="00502BB2" w:rsidRDefault="00502BB2"/>
    <w:p w14:paraId="73C3EEC9" w14:textId="77777777" w:rsidR="00502BB2" w:rsidRDefault="00502BB2"/>
    <w:p w14:paraId="3EAC8869" w14:textId="77777777" w:rsidR="00502BB2" w:rsidRDefault="00502BB2"/>
    <w:p w14:paraId="7BF9F37E" w14:textId="77777777" w:rsidR="00502BB2" w:rsidRDefault="00502BB2"/>
    <w:p w14:paraId="3EFF1053" w14:textId="77777777" w:rsidR="00502BB2" w:rsidRDefault="00502BB2"/>
    <w:p w14:paraId="5A221B30" w14:textId="77777777" w:rsidR="00502BB2" w:rsidRDefault="00502BB2"/>
    <w:p w14:paraId="6979F4E0" w14:textId="77777777" w:rsidR="00502BB2" w:rsidRDefault="00502BB2"/>
    <w:p w14:paraId="06B4198F" w14:textId="77777777" w:rsidR="00502BB2" w:rsidRDefault="00502BB2"/>
    <w:p w14:paraId="464530CE" w14:textId="77777777" w:rsidR="00502BB2" w:rsidRDefault="00502BB2"/>
    <w:p w14:paraId="676E2EF8" w14:textId="77777777" w:rsidR="00502BB2" w:rsidRDefault="00502BB2"/>
    <w:p w14:paraId="090CBBA9" w14:textId="77777777" w:rsidR="00502BB2" w:rsidRDefault="00502BB2"/>
    <w:p w14:paraId="4887F485" w14:textId="77777777" w:rsidR="00502BB2" w:rsidRDefault="00502BB2"/>
    <w:p w14:paraId="22BC8003" w14:textId="77777777" w:rsidR="00502BB2" w:rsidRDefault="00502BB2"/>
    <w:p w14:paraId="3487C9EF" w14:textId="77777777" w:rsidR="00502BB2" w:rsidRDefault="00502BB2"/>
    <w:p w14:paraId="585A9D4E" w14:textId="77777777" w:rsidR="00502BB2" w:rsidRDefault="00502BB2"/>
    <w:p w14:paraId="27519E1E" w14:textId="77777777" w:rsidR="00502BB2" w:rsidRDefault="00502BB2"/>
    <w:p w14:paraId="012BA424" w14:textId="77777777" w:rsidR="00502BB2" w:rsidRDefault="00502BB2"/>
    <w:p w14:paraId="0244B83F" w14:textId="77777777" w:rsidR="00502BB2" w:rsidRDefault="00502BB2"/>
    <w:p w14:paraId="215D0116" w14:textId="77777777" w:rsidR="00502BB2" w:rsidRDefault="00502BB2"/>
    <w:p w14:paraId="07FF70D0" w14:textId="77777777" w:rsidR="00502BB2" w:rsidRDefault="00502BB2"/>
    <w:p w14:paraId="6D978F26" w14:textId="77777777" w:rsidR="00502BB2" w:rsidRDefault="00502BB2"/>
    <w:p w14:paraId="6A5B941C" w14:textId="77777777" w:rsidR="00502BB2" w:rsidRDefault="00502BB2"/>
    <w:p w14:paraId="564DDC99" w14:textId="77777777" w:rsidR="00502BB2" w:rsidRDefault="00502BB2"/>
    <w:p w14:paraId="0414BF0A" w14:textId="77777777" w:rsidR="00502BB2" w:rsidRDefault="00502BB2"/>
    <w:p w14:paraId="2AF193DD" w14:textId="77777777" w:rsidR="00502BB2" w:rsidRDefault="00502BB2"/>
    <w:p w14:paraId="10C245BA" w14:textId="77777777" w:rsidR="00502BB2" w:rsidRDefault="00502BB2"/>
    <w:p w14:paraId="07F9AC24" w14:textId="77777777" w:rsidR="00502BB2" w:rsidRDefault="00502BB2"/>
    <w:p w14:paraId="104DA411" w14:textId="77777777" w:rsidR="00502BB2" w:rsidRDefault="00502BB2"/>
    <w:tbl>
      <w:tblPr>
        <w:tblpPr w:leftFromText="141" w:rightFromText="141" w:horzAnchor="margin" w:tblpXSpec="center" w:tblpY="1220"/>
        <w:tblW w:w="5888" w:type="dxa"/>
        <w:tblCellMar>
          <w:left w:w="70" w:type="dxa"/>
          <w:right w:w="70" w:type="dxa"/>
        </w:tblCellMar>
        <w:tblLook w:val="04A0" w:firstRow="1" w:lastRow="0" w:firstColumn="1" w:lastColumn="0" w:noHBand="0" w:noVBand="1"/>
      </w:tblPr>
      <w:tblGrid>
        <w:gridCol w:w="1287"/>
        <w:gridCol w:w="207"/>
        <w:gridCol w:w="1575"/>
        <w:gridCol w:w="987"/>
        <w:gridCol w:w="987"/>
        <w:gridCol w:w="960"/>
      </w:tblGrid>
      <w:tr w:rsidR="00502BB2" w14:paraId="7F7ADE18" w14:textId="77777777">
        <w:trPr>
          <w:trHeight w:val="288"/>
        </w:trPr>
        <w:tc>
          <w:tcPr>
            <w:tcW w:w="3008" w:type="dxa"/>
            <w:gridSpan w:val="3"/>
            <w:tcBorders>
              <w:top w:val="nil"/>
              <w:left w:val="nil"/>
              <w:bottom w:val="nil"/>
              <w:right w:val="nil"/>
            </w:tcBorders>
            <w:shd w:val="clear" w:color="000000" w:fill="F8CBAD"/>
            <w:noWrap/>
            <w:vAlign w:val="bottom"/>
          </w:tcPr>
          <w:p w14:paraId="0D9BE27E"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Complication</w:t>
            </w:r>
          </w:p>
        </w:tc>
        <w:tc>
          <w:tcPr>
            <w:tcW w:w="960" w:type="dxa"/>
            <w:tcBorders>
              <w:top w:val="nil"/>
              <w:left w:val="nil"/>
              <w:bottom w:val="nil"/>
              <w:right w:val="nil"/>
            </w:tcBorders>
            <w:shd w:val="clear" w:color="000000" w:fill="F8CBAD"/>
            <w:noWrap/>
            <w:vAlign w:val="bottom"/>
          </w:tcPr>
          <w:p w14:paraId="304CA5B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77EEC5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2B3DDE0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1F7C44E" w14:textId="77777777">
        <w:trPr>
          <w:trHeight w:val="288"/>
        </w:trPr>
        <w:tc>
          <w:tcPr>
            <w:tcW w:w="1287" w:type="dxa"/>
            <w:tcBorders>
              <w:top w:val="nil"/>
              <w:left w:val="nil"/>
              <w:bottom w:val="nil"/>
              <w:right w:val="nil"/>
            </w:tcBorders>
            <w:shd w:val="clear" w:color="000000" w:fill="F8CBAD"/>
            <w:noWrap/>
            <w:vAlign w:val="bottom"/>
          </w:tcPr>
          <w:p w14:paraId="27A74A1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Diabète</w:t>
            </w:r>
          </w:p>
        </w:tc>
        <w:tc>
          <w:tcPr>
            <w:tcW w:w="190" w:type="dxa"/>
            <w:tcBorders>
              <w:top w:val="nil"/>
              <w:left w:val="nil"/>
              <w:bottom w:val="nil"/>
              <w:right w:val="nil"/>
            </w:tcBorders>
            <w:shd w:val="clear" w:color="000000" w:fill="F8CBAD"/>
            <w:noWrap/>
            <w:vAlign w:val="bottom"/>
          </w:tcPr>
          <w:p w14:paraId="57D2022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2EA8D1E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Autre</w:t>
            </w:r>
          </w:p>
        </w:tc>
        <w:tc>
          <w:tcPr>
            <w:tcW w:w="960" w:type="dxa"/>
            <w:tcBorders>
              <w:top w:val="nil"/>
              <w:left w:val="nil"/>
              <w:bottom w:val="nil"/>
              <w:right w:val="nil"/>
            </w:tcBorders>
            <w:shd w:val="clear" w:color="000000" w:fill="F8CBAD"/>
            <w:noWrap/>
            <w:vAlign w:val="bottom"/>
          </w:tcPr>
          <w:p w14:paraId="1D88846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194CFB5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953768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F4AD004" w14:textId="77777777">
        <w:trPr>
          <w:trHeight w:val="288"/>
        </w:trPr>
        <w:tc>
          <w:tcPr>
            <w:tcW w:w="1287" w:type="dxa"/>
            <w:tcBorders>
              <w:top w:val="nil"/>
              <w:left w:val="nil"/>
              <w:bottom w:val="nil"/>
              <w:right w:val="nil"/>
            </w:tcBorders>
            <w:shd w:val="clear" w:color="000000" w:fill="F8CBAD"/>
            <w:noWrap/>
            <w:vAlign w:val="bottom"/>
          </w:tcPr>
          <w:p w14:paraId="2932D04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1D6E36B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283630C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HTA</w:t>
            </w:r>
          </w:p>
        </w:tc>
        <w:tc>
          <w:tcPr>
            <w:tcW w:w="960" w:type="dxa"/>
            <w:tcBorders>
              <w:top w:val="nil"/>
              <w:left w:val="nil"/>
              <w:bottom w:val="nil"/>
              <w:right w:val="nil"/>
            </w:tcBorders>
            <w:shd w:val="clear" w:color="000000" w:fill="F8CBAD"/>
            <w:noWrap/>
            <w:vAlign w:val="bottom"/>
          </w:tcPr>
          <w:p w14:paraId="41F8EB8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57143B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6540500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F001778" w14:textId="77777777">
        <w:trPr>
          <w:trHeight w:val="288"/>
        </w:trPr>
        <w:tc>
          <w:tcPr>
            <w:tcW w:w="1287" w:type="dxa"/>
            <w:tcBorders>
              <w:top w:val="nil"/>
              <w:left w:val="nil"/>
              <w:bottom w:val="nil"/>
              <w:right w:val="nil"/>
            </w:tcBorders>
            <w:shd w:val="clear" w:color="000000" w:fill="F8CBAD"/>
            <w:noWrap/>
            <w:vAlign w:val="bottom"/>
          </w:tcPr>
          <w:p w14:paraId="241B217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3FE091F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2491" w:type="dxa"/>
            <w:gridSpan w:val="2"/>
            <w:tcBorders>
              <w:top w:val="nil"/>
              <w:left w:val="nil"/>
              <w:bottom w:val="nil"/>
              <w:right w:val="nil"/>
            </w:tcBorders>
            <w:shd w:val="clear" w:color="000000" w:fill="F8CBAD"/>
            <w:noWrap/>
            <w:vAlign w:val="bottom"/>
          </w:tcPr>
          <w:p w14:paraId="254BF37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HTA+demense</w:t>
            </w:r>
            <w:proofErr w:type="spellEnd"/>
          </w:p>
        </w:tc>
        <w:tc>
          <w:tcPr>
            <w:tcW w:w="960" w:type="dxa"/>
            <w:tcBorders>
              <w:top w:val="nil"/>
              <w:left w:val="nil"/>
              <w:bottom w:val="nil"/>
              <w:right w:val="nil"/>
            </w:tcBorders>
            <w:shd w:val="clear" w:color="000000" w:fill="F8CBAD"/>
            <w:noWrap/>
            <w:vAlign w:val="bottom"/>
          </w:tcPr>
          <w:p w14:paraId="6DC6F98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560D60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46A1EB8" w14:textId="77777777">
        <w:trPr>
          <w:trHeight w:val="288"/>
        </w:trPr>
        <w:tc>
          <w:tcPr>
            <w:tcW w:w="1287" w:type="dxa"/>
            <w:tcBorders>
              <w:top w:val="nil"/>
              <w:left w:val="nil"/>
              <w:bottom w:val="nil"/>
              <w:right w:val="nil"/>
            </w:tcBorders>
            <w:shd w:val="clear" w:color="000000" w:fill="F8CBAD"/>
            <w:noWrap/>
            <w:vAlign w:val="bottom"/>
          </w:tcPr>
          <w:p w14:paraId="71914EA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6E82500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1844F8C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2908DB3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53CE763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2990BE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F5F18AC" w14:textId="77777777">
        <w:trPr>
          <w:trHeight w:val="288"/>
        </w:trPr>
        <w:tc>
          <w:tcPr>
            <w:tcW w:w="1287" w:type="dxa"/>
            <w:tcBorders>
              <w:top w:val="nil"/>
              <w:left w:val="nil"/>
              <w:bottom w:val="nil"/>
              <w:right w:val="nil"/>
            </w:tcBorders>
            <w:shd w:val="clear" w:color="000000" w:fill="F8CBAD"/>
            <w:noWrap/>
            <w:vAlign w:val="bottom"/>
          </w:tcPr>
          <w:p w14:paraId="66293A1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56A6FFA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5FAAFF2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3E0ACE8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FA1478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29424BB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B20F8B6" w14:textId="77777777">
        <w:trPr>
          <w:trHeight w:val="288"/>
        </w:trPr>
        <w:tc>
          <w:tcPr>
            <w:tcW w:w="1287" w:type="dxa"/>
            <w:tcBorders>
              <w:top w:val="nil"/>
              <w:left w:val="nil"/>
              <w:bottom w:val="nil"/>
              <w:right w:val="nil"/>
            </w:tcBorders>
            <w:shd w:val="clear" w:color="000000" w:fill="F8CBAD"/>
            <w:noWrap/>
            <w:vAlign w:val="bottom"/>
          </w:tcPr>
          <w:p w14:paraId="2E4267F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449BFEC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2F8AA03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Bronchite</w:t>
            </w:r>
          </w:p>
        </w:tc>
        <w:tc>
          <w:tcPr>
            <w:tcW w:w="960" w:type="dxa"/>
            <w:tcBorders>
              <w:top w:val="nil"/>
              <w:left w:val="nil"/>
              <w:bottom w:val="nil"/>
              <w:right w:val="nil"/>
            </w:tcBorders>
            <w:shd w:val="clear" w:color="000000" w:fill="F8CBAD"/>
            <w:noWrap/>
            <w:vAlign w:val="bottom"/>
          </w:tcPr>
          <w:p w14:paraId="7430479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7B37A39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208B4D4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1462A14" w14:textId="77777777">
        <w:trPr>
          <w:trHeight w:val="288"/>
        </w:trPr>
        <w:tc>
          <w:tcPr>
            <w:tcW w:w="1477" w:type="dxa"/>
            <w:gridSpan w:val="2"/>
            <w:tcBorders>
              <w:top w:val="nil"/>
              <w:left w:val="nil"/>
              <w:bottom w:val="nil"/>
              <w:right w:val="nil"/>
            </w:tcBorders>
            <w:shd w:val="clear" w:color="000000" w:fill="F8CBAD"/>
            <w:noWrap/>
            <w:vAlign w:val="bottom"/>
          </w:tcPr>
          <w:p w14:paraId="5AF2160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Pied diabétique</w:t>
            </w:r>
          </w:p>
        </w:tc>
        <w:tc>
          <w:tcPr>
            <w:tcW w:w="1531" w:type="dxa"/>
            <w:tcBorders>
              <w:top w:val="nil"/>
              <w:left w:val="nil"/>
              <w:bottom w:val="nil"/>
              <w:right w:val="nil"/>
            </w:tcBorders>
            <w:shd w:val="clear" w:color="000000" w:fill="F8CBAD"/>
            <w:noWrap/>
            <w:vAlign w:val="bottom"/>
          </w:tcPr>
          <w:p w14:paraId="14435E4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Psychose</w:t>
            </w:r>
          </w:p>
        </w:tc>
        <w:tc>
          <w:tcPr>
            <w:tcW w:w="960" w:type="dxa"/>
            <w:tcBorders>
              <w:top w:val="nil"/>
              <w:left w:val="nil"/>
              <w:bottom w:val="nil"/>
              <w:right w:val="nil"/>
            </w:tcBorders>
            <w:shd w:val="clear" w:color="000000" w:fill="F8CBAD"/>
            <w:noWrap/>
            <w:vAlign w:val="bottom"/>
          </w:tcPr>
          <w:p w14:paraId="7783FCC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1D84CF8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B1A76A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7871B9B" w14:textId="77777777">
        <w:trPr>
          <w:trHeight w:val="288"/>
        </w:trPr>
        <w:tc>
          <w:tcPr>
            <w:tcW w:w="1287" w:type="dxa"/>
            <w:tcBorders>
              <w:top w:val="nil"/>
              <w:left w:val="nil"/>
              <w:bottom w:val="nil"/>
              <w:right w:val="nil"/>
            </w:tcBorders>
            <w:shd w:val="clear" w:color="000000" w:fill="F8CBAD"/>
            <w:noWrap/>
            <w:vAlign w:val="bottom"/>
          </w:tcPr>
          <w:p w14:paraId="4BC8F31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7722B18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0901E27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28598EE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ECCED9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66C2BAD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20EB0B65" w14:textId="77777777">
        <w:trPr>
          <w:trHeight w:val="288"/>
        </w:trPr>
        <w:tc>
          <w:tcPr>
            <w:tcW w:w="1287" w:type="dxa"/>
            <w:tcBorders>
              <w:top w:val="nil"/>
              <w:left w:val="nil"/>
              <w:bottom w:val="nil"/>
              <w:right w:val="nil"/>
            </w:tcBorders>
            <w:shd w:val="clear" w:color="000000" w:fill="F8CBAD"/>
            <w:noWrap/>
            <w:vAlign w:val="bottom"/>
          </w:tcPr>
          <w:p w14:paraId="753ADE0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6E65834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4769D34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HTA</w:t>
            </w:r>
          </w:p>
        </w:tc>
        <w:tc>
          <w:tcPr>
            <w:tcW w:w="960" w:type="dxa"/>
            <w:tcBorders>
              <w:top w:val="nil"/>
              <w:left w:val="nil"/>
              <w:bottom w:val="nil"/>
              <w:right w:val="nil"/>
            </w:tcBorders>
            <w:shd w:val="clear" w:color="000000" w:fill="F8CBAD"/>
            <w:noWrap/>
            <w:vAlign w:val="bottom"/>
          </w:tcPr>
          <w:p w14:paraId="41DBCD5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2862894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67396BD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9E23826" w14:textId="77777777">
        <w:trPr>
          <w:trHeight w:val="288"/>
        </w:trPr>
        <w:tc>
          <w:tcPr>
            <w:tcW w:w="1287" w:type="dxa"/>
            <w:tcBorders>
              <w:top w:val="nil"/>
              <w:left w:val="nil"/>
              <w:bottom w:val="nil"/>
              <w:right w:val="nil"/>
            </w:tcBorders>
            <w:shd w:val="clear" w:color="000000" w:fill="F8CBAD"/>
            <w:noWrap/>
            <w:vAlign w:val="bottom"/>
          </w:tcPr>
          <w:p w14:paraId="7420F7E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2FD4684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02B1980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72231B4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47D9D2C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A78DDD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2D02C6B2" w14:textId="77777777">
        <w:trPr>
          <w:trHeight w:val="288"/>
        </w:trPr>
        <w:tc>
          <w:tcPr>
            <w:tcW w:w="1287" w:type="dxa"/>
            <w:tcBorders>
              <w:top w:val="nil"/>
              <w:left w:val="nil"/>
              <w:bottom w:val="nil"/>
              <w:right w:val="nil"/>
            </w:tcBorders>
            <w:shd w:val="clear" w:color="000000" w:fill="F8CBAD"/>
            <w:noWrap/>
            <w:vAlign w:val="bottom"/>
          </w:tcPr>
          <w:p w14:paraId="5690DD8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0E8E4D3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04352F6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0767E53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7D08F2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5710726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9E461A1" w14:textId="77777777">
        <w:trPr>
          <w:trHeight w:val="288"/>
        </w:trPr>
        <w:tc>
          <w:tcPr>
            <w:tcW w:w="1287" w:type="dxa"/>
            <w:tcBorders>
              <w:top w:val="nil"/>
              <w:left w:val="nil"/>
              <w:bottom w:val="nil"/>
              <w:right w:val="nil"/>
            </w:tcBorders>
            <w:shd w:val="clear" w:color="000000" w:fill="F8CBAD"/>
            <w:noWrap/>
            <w:vAlign w:val="bottom"/>
          </w:tcPr>
          <w:p w14:paraId="5E8D613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70D88BC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2491" w:type="dxa"/>
            <w:gridSpan w:val="2"/>
            <w:tcBorders>
              <w:top w:val="nil"/>
              <w:left w:val="nil"/>
              <w:bottom w:val="nil"/>
              <w:right w:val="nil"/>
            </w:tcBorders>
            <w:shd w:val="clear" w:color="000000" w:fill="F8CBAD"/>
            <w:noWrap/>
            <w:vAlign w:val="bottom"/>
          </w:tcPr>
          <w:p w14:paraId="3E76F54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Cholestase</w:t>
            </w:r>
          </w:p>
        </w:tc>
        <w:tc>
          <w:tcPr>
            <w:tcW w:w="960" w:type="dxa"/>
            <w:tcBorders>
              <w:top w:val="nil"/>
              <w:left w:val="nil"/>
              <w:bottom w:val="nil"/>
              <w:right w:val="nil"/>
            </w:tcBorders>
            <w:shd w:val="clear" w:color="000000" w:fill="F8CBAD"/>
            <w:noWrap/>
            <w:vAlign w:val="bottom"/>
          </w:tcPr>
          <w:p w14:paraId="74ABC60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7CD81D2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BA2775B" w14:textId="77777777">
        <w:trPr>
          <w:trHeight w:val="288"/>
        </w:trPr>
        <w:tc>
          <w:tcPr>
            <w:tcW w:w="1287" w:type="dxa"/>
            <w:tcBorders>
              <w:top w:val="nil"/>
              <w:left w:val="nil"/>
              <w:bottom w:val="nil"/>
              <w:right w:val="nil"/>
            </w:tcBorders>
            <w:shd w:val="clear" w:color="000000" w:fill="F8CBAD"/>
            <w:noWrap/>
            <w:vAlign w:val="bottom"/>
          </w:tcPr>
          <w:p w14:paraId="198210F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2DD1A56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5EC339C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028D886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AB7895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E1D0DA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0BC81B1" w14:textId="77777777">
        <w:trPr>
          <w:trHeight w:val="288"/>
        </w:trPr>
        <w:tc>
          <w:tcPr>
            <w:tcW w:w="1287" w:type="dxa"/>
            <w:tcBorders>
              <w:top w:val="nil"/>
              <w:left w:val="nil"/>
              <w:bottom w:val="nil"/>
              <w:right w:val="nil"/>
            </w:tcBorders>
            <w:shd w:val="clear" w:color="000000" w:fill="F8CBAD"/>
            <w:noWrap/>
            <w:vAlign w:val="bottom"/>
          </w:tcPr>
          <w:p w14:paraId="22C9E6F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36ADF31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4A5361A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7BD6AC5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759D9F6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AF9158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624DD3D" w14:textId="77777777">
        <w:trPr>
          <w:trHeight w:val="288"/>
        </w:trPr>
        <w:tc>
          <w:tcPr>
            <w:tcW w:w="1287" w:type="dxa"/>
            <w:tcBorders>
              <w:top w:val="nil"/>
              <w:left w:val="nil"/>
              <w:bottom w:val="nil"/>
              <w:right w:val="nil"/>
            </w:tcBorders>
            <w:shd w:val="clear" w:color="000000" w:fill="F8CBAD"/>
            <w:noWrap/>
            <w:vAlign w:val="bottom"/>
          </w:tcPr>
          <w:p w14:paraId="5AC8110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48414BE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0C0A8C0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Épileptique</w:t>
            </w:r>
          </w:p>
        </w:tc>
        <w:tc>
          <w:tcPr>
            <w:tcW w:w="960" w:type="dxa"/>
            <w:tcBorders>
              <w:top w:val="nil"/>
              <w:left w:val="nil"/>
              <w:bottom w:val="nil"/>
              <w:right w:val="nil"/>
            </w:tcBorders>
            <w:shd w:val="clear" w:color="000000" w:fill="F8CBAD"/>
            <w:noWrap/>
            <w:vAlign w:val="bottom"/>
          </w:tcPr>
          <w:p w14:paraId="0BA9D21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CED7A0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D6EFE7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26C0DFB5" w14:textId="77777777">
        <w:trPr>
          <w:trHeight w:val="288"/>
        </w:trPr>
        <w:tc>
          <w:tcPr>
            <w:tcW w:w="1287" w:type="dxa"/>
            <w:tcBorders>
              <w:top w:val="nil"/>
              <w:left w:val="nil"/>
              <w:bottom w:val="nil"/>
              <w:right w:val="nil"/>
            </w:tcBorders>
            <w:shd w:val="clear" w:color="000000" w:fill="F8CBAD"/>
            <w:noWrap/>
            <w:vAlign w:val="bottom"/>
          </w:tcPr>
          <w:p w14:paraId="7F486E5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18BDB8C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4166748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1291F8E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5075C5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66D361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E764046" w14:textId="77777777">
        <w:trPr>
          <w:trHeight w:val="288"/>
        </w:trPr>
        <w:tc>
          <w:tcPr>
            <w:tcW w:w="1287" w:type="dxa"/>
            <w:tcBorders>
              <w:top w:val="nil"/>
              <w:left w:val="nil"/>
              <w:bottom w:val="nil"/>
              <w:right w:val="nil"/>
            </w:tcBorders>
            <w:shd w:val="clear" w:color="000000" w:fill="F8CBAD"/>
            <w:noWrap/>
            <w:vAlign w:val="bottom"/>
          </w:tcPr>
          <w:p w14:paraId="5052E3F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16FF6F7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6063023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5157D7D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200E66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6793718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E56E63E" w14:textId="77777777">
        <w:trPr>
          <w:trHeight w:val="288"/>
        </w:trPr>
        <w:tc>
          <w:tcPr>
            <w:tcW w:w="1287" w:type="dxa"/>
            <w:tcBorders>
              <w:top w:val="nil"/>
              <w:left w:val="nil"/>
              <w:bottom w:val="nil"/>
              <w:right w:val="nil"/>
            </w:tcBorders>
            <w:shd w:val="clear" w:color="000000" w:fill="F8CBAD"/>
            <w:noWrap/>
            <w:vAlign w:val="bottom"/>
          </w:tcPr>
          <w:p w14:paraId="398C922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60D08C8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2491" w:type="dxa"/>
            <w:gridSpan w:val="2"/>
            <w:tcBorders>
              <w:top w:val="nil"/>
              <w:left w:val="nil"/>
              <w:bottom w:val="nil"/>
              <w:right w:val="nil"/>
            </w:tcBorders>
            <w:shd w:val="clear" w:color="000000" w:fill="F8CBAD"/>
            <w:noWrap/>
            <w:vAlign w:val="bottom"/>
          </w:tcPr>
          <w:p w14:paraId="3BAC227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Goitre+dislipidemie</w:t>
            </w:r>
            <w:proofErr w:type="spellEnd"/>
          </w:p>
        </w:tc>
        <w:tc>
          <w:tcPr>
            <w:tcW w:w="960" w:type="dxa"/>
            <w:tcBorders>
              <w:top w:val="nil"/>
              <w:left w:val="nil"/>
              <w:bottom w:val="nil"/>
              <w:right w:val="nil"/>
            </w:tcBorders>
            <w:shd w:val="clear" w:color="000000" w:fill="F8CBAD"/>
            <w:noWrap/>
            <w:vAlign w:val="bottom"/>
          </w:tcPr>
          <w:p w14:paraId="55B3CA2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6D5F5BF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D579647" w14:textId="77777777">
        <w:trPr>
          <w:trHeight w:val="288"/>
        </w:trPr>
        <w:tc>
          <w:tcPr>
            <w:tcW w:w="1287" w:type="dxa"/>
            <w:tcBorders>
              <w:top w:val="nil"/>
              <w:left w:val="nil"/>
              <w:bottom w:val="nil"/>
              <w:right w:val="nil"/>
            </w:tcBorders>
            <w:shd w:val="clear" w:color="000000" w:fill="F8CBAD"/>
            <w:noWrap/>
            <w:vAlign w:val="bottom"/>
          </w:tcPr>
          <w:p w14:paraId="66CBD3A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3482B21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14F7C83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00C8E35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5C62FA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F1F42E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9C09CA3" w14:textId="77777777">
        <w:trPr>
          <w:trHeight w:val="288"/>
        </w:trPr>
        <w:tc>
          <w:tcPr>
            <w:tcW w:w="1477" w:type="dxa"/>
            <w:gridSpan w:val="2"/>
            <w:tcBorders>
              <w:top w:val="nil"/>
              <w:left w:val="nil"/>
              <w:bottom w:val="nil"/>
              <w:right w:val="nil"/>
            </w:tcBorders>
            <w:shd w:val="clear" w:color="000000" w:fill="F8CBAD"/>
            <w:noWrap/>
            <w:vAlign w:val="bottom"/>
          </w:tcPr>
          <w:p w14:paraId="642CF84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Neuropathie</w:t>
            </w:r>
          </w:p>
        </w:tc>
        <w:tc>
          <w:tcPr>
            <w:tcW w:w="3451" w:type="dxa"/>
            <w:gridSpan w:val="3"/>
            <w:tcBorders>
              <w:top w:val="nil"/>
              <w:left w:val="nil"/>
              <w:bottom w:val="nil"/>
              <w:right w:val="nil"/>
            </w:tcBorders>
            <w:shd w:val="clear" w:color="000000" w:fill="F8CBAD"/>
            <w:noWrap/>
            <w:vAlign w:val="bottom"/>
          </w:tcPr>
          <w:p w14:paraId="2C3CED5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HTA+dislepidemia+ischemie</w:t>
            </w:r>
            <w:proofErr w:type="spellEnd"/>
          </w:p>
        </w:tc>
        <w:tc>
          <w:tcPr>
            <w:tcW w:w="960" w:type="dxa"/>
            <w:tcBorders>
              <w:top w:val="nil"/>
              <w:left w:val="nil"/>
              <w:bottom w:val="nil"/>
              <w:right w:val="nil"/>
            </w:tcBorders>
            <w:shd w:val="clear" w:color="000000" w:fill="F8CBAD"/>
            <w:noWrap/>
            <w:vAlign w:val="bottom"/>
          </w:tcPr>
          <w:p w14:paraId="386A1BF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81AA101" w14:textId="77777777">
        <w:trPr>
          <w:trHeight w:val="288"/>
        </w:trPr>
        <w:tc>
          <w:tcPr>
            <w:tcW w:w="1287" w:type="dxa"/>
            <w:tcBorders>
              <w:top w:val="nil"/>
              <w:left w:val="nil"/>
              <w:bottom w:val="nil"/>
              <w:right w:val="nil"/>
            </w:tcBorders>
            <w:shd w:val="clear" w:color="000000" w:fill="F8CBAD"/>
            <w:noWrap/>
            <w:vAlign w:val="bottom"/>
          </w:tcPr>
          <w:p w14:paraId="4D46105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13EE1F3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312F741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04866A2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3A3506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1B50716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0AC8525" w14:textId="77777777">
        <w:trPr>
          <w:trHeight w:val="288"/>
        </w:trPr>
        <w:tc>
          <w:tcPr>
            <w:tcW w:w="1287" w:type="dxa"/>
            <w:tcBorders>
              <w:top w:val="nil"/>
              <w:left w:val="nil"/>
              <w:bottom w:val="nil"/>
              <w:right w:val="nil"/>
            </w:tcBorders>
            <w:shd w:val="clear" w:color="000000" w:fill="F8CBAD"/>
            <w:noWrap/>
            <w:vAlign w:val="bottom"/>
          </w:tcPr>
          <w:p w14:paraId="309F8C7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73DD6B4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1068804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140DA10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69E7215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62F80A3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3A47932" w14:textId="77777777">
        <w:trPr>
          <w:trHeight w:val="288"/>
        </w:trPr>
        <w:tc>
          <w:tcPr>
            <w:tcW w:w="1287" w:type="dxa"/>
            <w:tcBorders>
              <w:top w:val="nil"/>
              <w:left w:val="nil"/>
              <w:bottom w:val="nil"/>
              <w:right w:val="nil"/>
            </w:tcBorders>
            <w:shd w:val="clear" w:color="000000" w:fill="F8CBAD"/>
            <w:noWrap/>
            <w:vAlign w:val="bottom"/>
          </w:tcPr>
          <w:p w14:paraId="557CB9E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2CF3B39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3451" w:type="dxa"/>
            <w:gridSpan w:val="3"/>
            <w:tcBorders>
              <w:top w:val="nil"/>
              <w:left w:val="nil"/>
              <w:bottom w:val="nil"/>
              <w:right w:val="nil"/>
            </w:tcBorders>
            <w:shd w:val="clear" w:color="000000" w:fill="F8CBAD"/>
            <w:noWrap/>
            <w:vAlign w:val="bottom"/>
          </w:tcPr>
          <w:p w14:paraId="1C3EAE2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Psychose schizophrénie</w:t>
            </w:r>
          </w:p>
        </w:tc>
        <w:tc>
          <w:tcPr>
            <w:tcW w:w="960" w:type="dxa"/>
            <w:tcBorders>
              <w:top w:val="nil"/>
              <w:left w:val="nil"/>
              <w:bottom w:val="nil"/>
              <w:right w:val="nil"/>
            </w:tcBorders>
            <w:shd w:val="clear" w:color="000000" w:fill="F8CBAD"/>
            <w:noWrap/>
            <w:vAlign w:val="bottom"/>
          </w:tcPr>
          <w:p w14:paraId="2BAC14B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17D138A" w14:textId="77777777">
        <w:trPr>
          <w:trHeight w:val="288"/>
        </w:trPr>
        <w:tc>
          <w:tcPr>
            <w:tcW w:w="1287" w:type="dxa"/>
            <w:tcBorders>
              <w:top w:val="nil"/>
              <w:left w:val="nil"/>
              <w:bottom w:val="nil"/>
              <w:right w:val="nil"/>
            </w:tcBorders>
            <w:shd w:val="clear" w:color="000000" w:fill="F8CBAD"/>
            <w:noWrap/>
            <w:vAlign w:val="bottom"/>
          </w:tcPr>
          <w:p w14:paraId="57CA212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00675CB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185BC5A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13B93E0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448C7B0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5C5845D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085B158" w14:textId="77777777">
        <w:trPr>
          <w:trHeight w:val="288"/>
        </w:trPr>
        <w:tc>
          <w:tcPr>
            <w:tcW w:w="1287" w:type="dxa"/>
            <w:tcBorders>
              <w:top w:val="nil"/>
              <w:left w:val="nil"/>
              <w:bottom w:val="nil"/>
              <w:right w:val="nil"/>
            </w:tcBorders>
            <w:shd w:val="clear" w:color="000000" w:fill="F8CBAD"/>
            <w:noWrap/>
            <w:vAlign w:val="bottom"/>
          </w:tcPr>
          <w:p w14:paraId="7663705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5FD8D5C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1C8EF56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3369921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74173B9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3A5741D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55AA2C5" w14:textId="77777777">
        <w:trPr>
          <w:trHeight w:val="288"/>
        </w:trPr>
        <w:tc>
          <w:tcPr>
            <w:tcW w:w="1287" w:type="dxa"/>
            <w:tcBorders>
              <w:top w:val="nil"/>
              <w:left w:val="nil"/>
              <w:bottom w:val="nil"/>
              <w:right w:val="nil"/>
            </w:tcBorders>
            <w:shd w:val="clear" w:color="000000" w:fill="F8CBAD"/>
            <w:noWrap/>
            <w:vAlign w:val="bottom"/>
          </w:tcPr>
          <w:p w14:paraId="63F1477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3A4ECF6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2491" w:type="dxa"/>
            <w:gridSpan w:val="2"/>
            <w:tcBorders>
              <w:top w:val="nil"/>
              <w:left w:val="nil"/>
              <w:bottom w:val="nil"/>
              <w:right w:val="nil"/>
            </w:tcBorders>
            <w:shd w:val="clear" w:color="000000" w:fill="F8CBAD"/>
            <w:noWrap/>
            <w:vAlign w:val="bottom"/>
          </w:tcPr>
          <w:p w14:paraId="7C76BCD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Hyperleucocytose</w:t>
            </w:r>
          </w:p>
        </w:tc>
        <w:tc>
          <w:tcPr>
            <w:tcW w:w="960" w:type="dxa"/>
            <w:tcBorders>
              <w:top w:val="nil"/>
              <w:left w:val="nil"/>
              <w:bottom w:val="nil"/>
              <w:right w:val="nil"/>
            </w:tcBorders>
            <w:shd w:val="clear" w:color="000000" w:fill="F8CBAD"/>
            <w:noWrap/>
            <w:vAlign w:val="bottom"/>
          </w:tcPr>
          <w:p w14:paraId="72366C1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2CDD002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5989566" w14:textId="77777777">
        <w:trPr>
          <w:trHeight w:val="288"/>
        </w:trPr>
        <w:tc>
          <w:tcPr>
            <w:tcW w:w="1287" w:type="dxa"/>
            <w:tcBorders>
              <w:top w:val="nil"/>
              <w:left w:val="nil"/>
              <w:bottom w:val="nil"/>
              <w:right w:val="nil"/>
            </w:tcBorders>
            <w:shd w:val="clear" w:color="000000" w:fill="F8CBAD"/>
            <w:noWrap/>
            <w:vAlign w:val="bottom"/>
          </w:tcPr>
          <w:p w14:paraId="71231C8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6B0B6E3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2491" w:type="dxa"/>
            <w:gridSpan w:val="2"/>
            <w:tcBorders>
              <w:top w:val="nil"/>
              <w:left w:val="nil"/>
              <w:bottom w:val="nil"/>
              <w:right w:val="nil"/>
            </w:tcBorders>
            <w:shd w:val="clear" w:color="000000" w:fill="F8CBAD"/>
            <w:noWrap/>
            <w:vAlign w:val="bottom"/>
          </w:tcPr>
          <w:p w14:paraId="309127B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Hypothyroïdie</w:t>
            </w:r>
          </w:p>
        </w:tc>
        <w:tc>
          <w:tcPr>
            <w:tcW w:w="960" w:type="dxa"/>
            <w:tcBorders>
              <w:top w:val="nil"/>
              <w:left w:val="nil"/>
              <w:bottom w:val="nil"/>
              <w:right w:val="nil"/>
            </w:tcBorders>
            <w:shd w:val="clear" w:color="000000" w:fill="F8CBAD"/>
            <w:noWrap/>
            <w:vAlign w:val="bottom"/>
          </w:tcPr>
          <w:p w14:paraId="4BACDC8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4194694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904BA28" w14:textId="77777777">
        <w:trPr>
          <w:trHeight w:val="288"/>
        </w:trPr>
        <w:tc>
          <w:tcPr>
            <w:tcW w:w="1287" w:type="dxa"/>
            <w:tcBorders>
              <w:top w:val="nil"/>
              <w:left w:val="nil"/>
              <w:bottom w:val="nil"/>
              <w:right w:val="nil"/>
            </w:tcBorders>
            <w:shd w:val="clear" w:color="000000" w:fill="F8CBAD"/>
            <w:noWrap/>
            <w:vAlign w:val="bottom"/>
          </w:tcPr>
          <w:p w14:paraId="79A84F8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48FF05F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411" w:type="dxa"/>
            <w:gridSpan w:val="4"/>
            <w:tcBorders>
              <w:top w:val="nil"/>
              <w:left w:val="nil"/>
              <w:bottom w:val="nil"/>
              <w:right w:val="nil"/>
            </w:tcBorders>
            <w:shd w:val="clear" w:color="000000" w:fill="F8CBAD"/>
            <w:noWrap/>
            <w:vAlign w:val="bottom"/>
          </w:tcPr>
          <w:p w14:paraId="7A94C98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HTA+cardiopathie+hypotyhroidie</w:t>
            </w:r>
            <w:proofErr w:type="spellEnd"/>
          </w:p>
        </w:tc>
      </w:tr>
      <w:tr w:rsidR="00502BB2" w14:paraId="106665C6" w14:textId="77777777">
        <w:trPr>
          <w:trHeight w:val="288"/>
        </w:trPr>
        <w:tc>
          <w:tcPr>
            <w:tcW w:w="1287" w:type="dxa"/>
            <w:tcBorders>
              <w:top w:val="nil"/>
              <w:left w:val="nil"/>
              <w:bottom w:val="nil"/>
              <w:right w:val="nil"/>
            </w:tcBorders>
            <w:shd w:val="clear" w:color="000000" w:fill="F8CBAD"/>
            <w:noWrap/>
            <w:vAlign w:val="bottom"/>
          </w:tcPr>
          <w:p w14:paraId="0566504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41233D3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7FEF428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HTA</w:t>
            </w:r>
          </w:p>
        </w:tc>
        <w:tc>
          <w:tcPr>
            <w:tcW w:w="960" w:type="dxa"/>
            <w:tcBorders>
              <w:top w:val="nil"/>
              <w:left w:val="nil"/>
              <w:bottom w:val="nil"/>
              <w:right w:val="nil"/>
            </w:tcBorders>
            <w:shd w:val="clear" w:color="000000" w:fill="F8CBAD"/>
            <w:noWrap/>
            <w:vAlign w:val="bottom"/>
          </w:tcPr>
          <w:p w14:paraId="18D780E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1E789AD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13D93F8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A7A10E4" w14:textId="77777777">
        <w:trPr>
          <w:trHeight w:val="288"/>
        </w:trPr>
        <w:tc>
          <w:tcPr>
            <w:tcW w:w="1287" w:type="dxa"/>
            <w:tcBorders>
              <w:top w:val="nil"/>
              <w:left w:val="nil"/>
              <w:bottom w:val="nil"/>
              <w:right w:val="nil"/>
            </w:tcBorders>
            <w:shd w:val="clear" w:color="000000" w:fill="F8CBAD"/>
            <w:noWrap/>
            <w:vAlign w:val="bottom"/>
          </w:tcPr>
          <w:p w14:paraId="435B26F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1AF2708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61D3B79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12381AA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0D63C5A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47A3302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6E448A4" w14:textId="77777777">
        <w:trPr>
          <w:trHeight w:val="288"/>
        </w:trPr>
        <w:tc>
          <w:tcPr>
            <w:tcW w:w="1287" w:type="dxa"/>
            <w:tcBorders>
              <w:top w:val="nil"/>
              <w:left w:val="nil"/>
              <w:bottom w:val="nil"/>
              <w:right w:val="nil"/>
            </w:tcBorders>
            <w:shd w:val="clear" w:color="000000" w:fill="F8CBAD"/>
            <w:noWrap/>
            <w:vAlign w:val="bottom"/>
          </w:tcPr>
          <w:p w14:paraId="17E6EFC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118A06F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531" w:type="dxa"/>
            <w:tcBorders>
              <w:top w:val="nil"/>
              <w:left w:val="nil"/>
              <w:bottom w:val="nil"/>
              <w:right w:val="nil"/>
            </w:tcBorders>
            <w:shd w:val="clear" w:color="000000" w:fill="F8CBAD"/>
            <w:noWrap/>
            <w:vAlign w:val="bottom"/>
          </w:tcPr>
          <w:p w14:paraId="773A828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60" w:type="dxa"/>
            <w:tcBorders>
              <w:top w:val="nil"/>
              <w:left w:val="nil"/>
              <w:bottom w:val="nil"/>
              <w:right w:val="nil"/>
            </w:tcBorders>
            <w:shd w:val="clear" w:color="000000" w:fill="F8CBAD"/>
            <w:noWrap/>
            <w:vAlign w:val="bottom"/>
          </w:tcPr>
          <w:p w14:paraId="1AAF645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55A9470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5A16C72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7A7D945" w14:textId="77777777">
        <w:trPr>
          <w:trHeight w:val="288"/>
        </w:trPr>
        <w:tc>
          <w:tcPr>
            <w:tcW w:w="1287" w:type="dxa"/>
            <w:tcBorders>
              <w:top w:val="nil"/>
              <w:left w:val="nil"/>
              <w:bottom w:val="nil"/>
              <w:right w:val="nil"/>
            </w:tcBorders>
            <w:shd w:val="clear" w:color="000000" w:fill="F8CBAD"/>
            <w:noWrap/>
            <w:vAlign w:val="bottom"/>
          </w:tcPr>
          <w:p w14:paraId="6EC38B0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5EB86D8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2491" w:type="dxa"/>
            <w:gridSpan w:val="2"/>
            <w:tcBorders>
              <w:top w:val="nil"/>
              <w:left w:val="nil"/>
              <w:bottom w:val="nil"/>
              <w:right w:val="nil"/>
            </w:tcBorders>
            <w:shd w:val="clear" w:color="000000" w:fill="F8CBAD"/>
            <w:noWrap/>
            <w:vAlign w:val="bottom"/>
          </w:tcPr>
          <w:p w14:paraId="644E5E2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Schizophrénie</w:t>
            </w:r>
          </w:p>
        </w:tc>
        <w:tc>
          <w:tcPr>
            <w:tcW w:w="960" w:type="dxa"/>
            <w:tcBorders>
              <w:top w:val="nil"/>
              <w:left w:val="nil"/>
              <w:bottom w:val="nil"/>
              <w:right w:val="nil"/>
            </w:tcBorders>
            <w:shd w:val="clear" w:color="000000" w:fill="F8CBAD"/>
            <w:noWrap/>
            <w:vAlign w:val="bottom"/>
          </w:tcPr>
          <w:p w14:paraId="2D7F126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60" w:type="dxa"/>
            <w:tcBorders>
              <w:top w:val="nil"/>
              <w:left w:val="nil"/>
              <w:bottom w:val="nil"/>
              <w:right w:val="nil"/>
            </w:tcBorders>
            <w:shd w:val="clear" w:color="000000" w:fill="F8CBAD"/>
            <w:noWrap/>
            <w:vAlign w:val="bottom"/>
          </w:tcPr>
          <w:p w14:paraId="7EF0D1A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74670C2" w14:textId="77777777">
        <w:trPr>
          <w:trHeight w:val="288"/>
        </w:trPr>
        <w:tc>
          <w:tcPr>
            <w:tcW w:w="1287" w:type="dxa"/>
            <w:tcBorders>
              <w:top w:val="nil"/>
              <w:left w:val="nil"/>
              <w:bottom w:val="nil"/>
              <w:right w:val="nil"/>
            </w:tcBorders>
            <w:shd w:val="clear" w:color="000000" w:fill="F8CBAD"/>
            <w:noWrap/>
            <w:vAlign w:val="bottom"/>
          </w:tcPr>
          <w:p w14:paraId="7D47119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190" w:type="dxa"/>
            <w:tcBorders>
              <w:top w:val="nil"/>
              <w:left w:val="nil"/>
              <w:bottom w:val="nil"/>
              <w:right w:val="nil"/>
            </w:tcBorders>
            <w:shd w:val="clear" w:color="000000" w:fill="F8CBAD"/>
            <w:noWrap/>
            <w:vAlign w:val="bottom"/>
          </w:tcPr>
          <w:p w14:paraId="2A7AD2D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3451" w:type="dxa"/>
            <w:gridSpan w:val="3"/>
            <w:tcBorders>
              <w:top w:val="nil"/>
              <w:left w:val="nil"/>
              <w:bottom w:val="nil"/>
              <w:right w:val="nil"/>
            </w:tcBorders>
            <w:shd w:val="clear" w:color="000000" w:fill="F8CBAD"/>
            <w:noWrap/>
            <w:vAlign w:val="bottom"/>
          </w:tcPr>
          <w:p w14:paraId="44F7DEE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HTA+IRC+hypothyroidie+goutte</w:t>
            </w:r>
            <w:proofErr w:type="spellEnd"/>
          </w:p>
        </w:tc>
        <w:tc>
          <w:tcPr>
            <w:tcW w:w="960" w:type="dxa"/>
            <w:tcBorders>
              <w:top w:val="nil"/>
              <w:left w:val="nil"/>
              <w:bottom w:val="nil"/>
              <w:right w:val="nil"/>
            </w:tcBorders>
            <w:shd w:val="clear" w:color="000000" w:fill="F8CBAD"/>
            <w:noWrap/>
            <w:vAlign w:val="bottom"/>
          </w:tcPr>
          <w:p w14:paraId="742FC28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bl>
    <w:p w14:paraId="1460B9D7" w14:textId="77777777" w:rsidR="00502BB2" w:rsidRDefault="00502BB2"/>
    <w:p w14:paraId="5DC62E24" w14:textId="77777777" w:rsidR="00502BB2" w:rsidRDefault="00502BB2"/>
    <w:p w14:paraId="16E50E65" w14:textId="77777777" w:rsidR="00502BB2" w:rsidRDefault="00502BB2"/>
    <w:p w14:paraId="6C660112" w14:textId="77777777" w:rsidR="00502BB2" w:rsidRDefault="00502BB2"/>
    <w:p w14:paraId="2043FB37" w14:textId="77777777" w:rsidR="00502BB2" w:rsidRDefault="00502BB2"/>
    <w:p w14:paraId="6B092134" w14:textId="77777777" w:rsidR="00502BB2" w:rsidRDefault="00502BB2"/>
    <w:p w14:paraId="584BB8E2" w14:textId="77777777" w:rsidR="00502BB2" w:rsidRDefault="00502BB2"/>
    <w:p w14:paraId="6C008CA4" w14:textId="77777777" w:rsidR="00502BB2" w:rsidRDefault="00502BB2"/>
    <w:p w14:paraId="6C2067E9" w14:textId="77777777" w:rsidR="00502BB2" w:rsidRDefault="00502BB2"/>
    <w:p w14:paraId="323F4B0F" w14:textId="77777777" w:rsidR="00502BB2" w:rsidRDefault="00502BB2"/>
    <w:p w14:paraId="412F4A34" w14:textId="77777777" w:rsidR="00502BB2" w:rsidRDefault="00502BB2"/>
    <w:p w14:paraId="4E3E78DE" w14:textId="77777777" w:rsidR="00502BB2" w:rsidRDefault="00502BB2"/>
    <w:p w14:paraId="4DAFBD88" w14:textId="77777777" w:rsidR="00502BB2" w:rsidRDefault="00502BB2"/>
    <w:p w14:paraId="6A06DEEC" w14:textId="77777777" w:rsidR="00502BB2" w:rsidRDefault="00502BB2"/>
    <w:p w14:paraId="24A2FFBE" w14:textId="77777777" w:rsidR="00502BB2" w:rsidRDefault="00502BB2"/>
    <w:p w14:paraId="1C39E71B" w14:textId="77777777" w:rsidR="00502BB2" w:rsidRDefault="00502BB2"/>
    <w:p w14:paraId="7463AA6E" w14:textId="77777777" w:rsidR="00502BB2" w:rsidRDefault="00502BB2"/>
    <w:p w14:paraId="2E8E43EF" w14:textId="77777777" w:rsidR="00502BB2" w:rsidRDefault="00502BB2"/>
    <w:p w14:paraId="22D0F8F9" w14:textId="77777777" w:rsidR="00502BB2" w:rsidRDefault="00502BB2"/>
    <w:p w14:paraId="45EC376E" w14:textId="77777777" w:rsidR="00502BB2" w:rsidRDefault="00502BB2"/>
    <w:p w14:paraId="12176209" w14:textId="77777777" w:rsidR="00502BB2" w:rsidRDefault="00502BB2"/>
    <w:p w14:paraId="2618BC67" w14:textId="77777777" w:rsidR="00502BB2" w:rsidRDefault="00502BB2"/>
    <w:p w14:paraId="1E0079B0" w14:textId="77777777" w:rsidR="00502BB2" w:rsidRDefault="00502BB2"/>
    <w:p w14:paraId="1349063E" w14:textId="77777777" w:rsidR="00502BB2" w:rsidRDefault="00502BB2"/>
    <w:p w14:paraId="73813FED" w14:textId="77777777" w:rsidR="00502BB2" w:rsidRDefault="00502BB2"/>
    <w:p w14:paraId="407E6B45" w14:textId="77777777" w:rsidR="00502BB2" w:rsidRDefault="00502BB2"/>
    <w:p w14:paraId="4CE61FCA" w14:textId="77777777" w:rsidR="00502BB2" w:rsidRDefault="00502BB2">
      <w:pPr>
        <w:ind w:firstLine="708"/>
      </w:pPr>
    </w:p>
    <w:p w14:paraId="335E6D89" w14:textId="77777777" w:rsidR="00502BB2" w:rsidRDefault="00502BB2">
      <w:pPr>
        <w:ind w:firstLine="708"/>
      </w:pPr>
    </w:p>
    <w:p w14:paraId="489D02DA" w14:textId="77777777" w:rsidR="00502BB2" w:rsidRDefault="00502BB2">
      <w:pPr>
        <w:ind w:firstLine="708"/>
      </w:pPr>
    </w:p>
    <w:p w14:paraId="4A83361E" w14:textId="77777777" w:rsidR="00502BB2" w:rsidRDefault="00502BB2">
      <w:pPr>
        <w:ind w:firstLine="708"/>
      </w:pPr>
    </w:p>
    <w:tbl>
      <w:tblPr>
        <w:tblpPr w:leftFromText="141" w:rightFromText="141" w:horzAnchor="margin" w:tblpY="1080"/>
        <w:tblW w:w="9406" w:type="dxa"/>
        <w:tblCellMar>
          <w:left w:w="70" w:type="dxa"/>
          <w:right w:w="70" w:type="dxa"/>
        </w:tblCellMar>
        <w:tblLook w:val="04A0" w:firstRow="1" w:lastRow="0" w:firstColumn="1" w:lastColumn="0" w:noHBand="0" w:noVBand="1"/>
      </w:tblPr>
      <w:tblGrid>
        <w:gridCol w:w="4097"/>
        <w:gridCol w:w="462"/>
        <w:gridCol w:w="461"/>
        <w:gridCol w:w="1764"/>
        <w:gridCol w:w="874"/>
        <w:gridCol w:w="874"/>
        <w:gridCol w:w="874"/>
      </w:tblGrid>
      <w:tr w:rsidR="00502BB2" w14:paraId="34BCD279" w14:textId="77777777">
        <w:trPr>
          <w:trHeight w:val="288"/>
        </w:trPr>
        <w:tc>
          <w:tcPr>
            <w:tcW w:w="6580" w:type="dxa"/>
            <w:gridSpan w:val="4"/>
            <w:tcBorders>
              <w:top w:val="nil"/>
              <w:left w:val="nil"/>
              <w:bottom w:val="nil"/>
              <w:right w:val="nil"/>
            </w:tcBorders>
            <w:shd w:val="clear" w:color="000000" w:fill="BDD7EE"/>
            <w:noWrap/>
            <w:vAlign w:val="bottom"/>
          </w:tcPr>
          <w:p w14:paraId="26BFFD55" w14:textId="77777777" w:rsidR="00502BB2" w:rsidRDefault="0069123E">
            <w:pPr>
              <w:spacing w:after="0" w:line="240" w:lineRule="auto"/>
              <w:jc w:val="center"/>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Traitements</w:t>
            </w:r>
          </w:p>
        </w:tc>
        <w:tc>
          <w:tcPr>
            <w:tcW w:w="942" w:type="dxa"/>
            <w:tcBorders>
              <w:top w:val="nil"/>
              <w:left w:val="nil"/>
              <w:bottom w:val="nil"/>
              <w:right w:val="nil"/>
            </w:tcBorders>
            <w:shd w:val="clear" w:color="000000" w:fill="BDD7EE"/>
            <w:noWrap/>
            <w:vAlign w:val="bottom"/>
          </w:tcPr>
          <w:p w14:paraId="2E6676F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2BEE36A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6CB3472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F86B3BF" w14:textId="77777777">
        <w:trPr>
          <w:trHeight w:val="288"/>
        </w:trPr>
        <w:tc>
          <w:tcPr>
            <w:tcW w:w="3823" w:type="dxa"/>
            <w:tcBorders>
              <w:top w:val="nil"/>
              <w:left w:val="nil"/>
              <w:bottom w:val="nil"/>
              <w:right w:val="nil"/>
            </w:tcBorders>
            <w:shd w:val="clear" w:color="000000" w:fill="BDD7EE"/>
            <w:noWrap/>
            <w:vAlign w:val="bottom"/>
          </w:tcPr>
          <w:p w14:paraId="4AE32DD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Dt</w:t>
            </w:r>
            <w:proofErr w:type="spellEnd"/>
          </w:p>
        </w:tc>
        <w:tc>
          <w:tcPr>
            <w:tcW w:w="422" w:type="dxa"/>
            <w:tcBorders>
              <w:top w:val="nil"/>
              <w:left w:val="nil"/>
              <w:bottom w:val="nil"/>
              <w:right w:val="nil"/>
            </w:tcBorders>
            <w:shd w:val="clear" w:color="000000" w:fill="BDD7EE"/>
            <w:noWrap/>
            <w:vAlign w:val="bottom"/>
          </w:tcPr>
          <w:p w14:paraId="08619E2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23FD990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52E4B7B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Autre</w:t>
            </w:r>
          </w:p>
        </w:tc>
        <w:tc>
          <w:tcPr>
            <w:tcW w:w="942" w:type="dxa"/>
            <w:tcBorders>
              <w:top w:val="nil"/>
              <w:left w:val="nil"/>
              <w:bottom w:val="nil"/>
              <w:right w:val="nil"/>
            </w:tcBorders>
            <w:shd w:val="clear" w:color="000000" w:fill="BDD7EE"/>
            <w:noWrap/>
            <w:vAlign w:val="bottom"/>
          </w:tcPr>
          <w:p w14:paraId="2B68282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5D9C0C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1DC667B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DD275B5" w14:textId="77777777">
        <w:trPr>
          <w:trHeight w:val="288"/>
        </w:trPr>
        <w:tc>
          <w:tcPr>
            <w:tcW w:w="3823" w:type="dxa"/>
            <w:tcBorders>
              <w:top w:val="nil"/>
              <w:left w:val="nil"/>
              <w:bottom w:val="nil"/>
              <w:right w:val="nil"/>
            </w:tcBorders>
            <w:shd w:val="clear" w:color="000000" w:fill="BDD7EE"/>
            <w:noWrap/>
            <w:vAlign w:val="bottom"/>
          </w:tcPr>
          <w:p w14:paraId="4DAA8A6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228CF12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140C4D8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3707A84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3BD0BE3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21ECDF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02D0C2E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82E3A57" w14:textId="77777777">
        <w:trPr>
          <w:trHeight w:val="288"/>
        </w:trPr>
        <w:tc>
          <w:tcPr>
            <w:tcW w:w="4245" w:type="dxa"/>
            <w:gridSpan w:val="2"/>
            <w:tcBorders>
              <w:top w:val="nil"/>
              <w:left w:val="nil"/>
              <w:bottom w:val="nil"/>
              <w:right w:val="nil"/>
            </w:tcBorders>
            <w:shd w:val="clear" w:color="000000" w:fill="BDD7EE"/>
            <w:noWrap/>
            <w:vAlign w:val="bottom"/>
          </w:tcPr>
          <w:p w14:paraId="2DFA6D6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ADO puis insuline</w:t>
            </w:r>
          </w:p>
        </w:tc>
        <w:tc>
          <w:tcPr>
            <w:tcW w:w="421" w:type="dxa"/>
            <w:tcBorders>
              <w:top w:val="nil"/>
              <w:left w:val="nil"/>
              <w:bottom w:val="nil"/>
              <w:right w:val="nil"/>
            </w:tcBorders>
            <w:shd w:val="clear" w:color="000000" w:fill="BDD7EE"/>
            <w:noWrap/>
            <w:vAlign w:val="bottom"/>
          </w:tcPr>
          <w:p w14:paraId="7B4418A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2856" w:type="dxa"/>
            <w:gridSpan w:val="2"/>
            <w:tcBorders>
              <w:top w:val="nil"/>
              <w:left w:val="nil"/>
              <w:bottom w:val="nil"/>
              <w:right w:val="nil"/>
            </w:tcBorders>
            <w:shd w:val="clear" w:color="000000" w:fill="BDD7EE"/>
            <w:noWrap/>
            <w:vAlign w:val="bottom"/>
          </w:tcPr>
          <w:p w14:paraId="7E72B1C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Byzolex+noxta</w:t>
            </w:r>
            <w:proofErr w:type="spellEnd"/>
          </w:p>
        </w:tc>
        <w:tc>
          <w:tcPr>
            <w:tcW w:w="942" w:type="dxa"/>
            <w:tcBorders>
              <w:top w:val="nil"/>
              <w:left w:val="nil"/>
              <w:bottom w:val="nil"/>
              <w:right w:val="nil"/>
            </w:tcBorders>
            <w:shd w:val="clear" w:color="000000" w:fill="BDD7EE"/>
            <w:noWrap/>
            <w:vAlign w:val="bottom"/>
          </w:tcPr>
          <w:p w14:paraId="111A395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3615AA2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2120AB6" w14:textId="77777777">
        <w:trPr>
          <w:trHeight w:val="288"/>
        </w:trPr>
        <w:tc>
          <w:tcPr>
            <w:tcW w:w="3823" w:type="dxa"/>
            <w:tcBorders>
              <w:top w:val="nil"/>
              <w:left w:val="nil"/>
              <w:bottom w:val="nil"/>
              <w:right w:val="nil"/>
            </w:tcBorders>
            <w:shd w:val="clear" w:color="000000" w:fill="BDD7EE"/>
            <w:noWrap/>
            <w:vAlign w:val="bottom"/>
          </w:tcPr>
          <w:p w14:paraId="20810C1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11B9011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016C383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2FB61DF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78A7F06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DBEB82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78ABCE3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7CD806E" w14:textId="77777777">
        <w:trPr>
          <w:trHeight w:val="288"/>
        </w:trPr>
        <w:tc>
          <w:tcPr>
            <w:tcW w:w="3823" w:type="dxa"/>
            <w:tcBorders>
              <w:top w:val="nil"/>
              <w:left w:val="nil"/>
              <w:bottom w:val="nil"/>
              <w:right w:val="nil"/>
            </w:tcBorders>
            <w:shd w:val="clear" w:color="000000" w:fill="BDD7EE"/>
            <w:noWrap/>
            <w:vAlign w:val="bottom"/>
          </w:tcPr>
          <w:p w14:paraId="3931CAF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4643963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29E739F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26A86F9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Amoclan</w:t>
            </w:r>
            <w:proofErr w:type="spellEnd"/>
          </w:p>
        </w:tc>
        <w:tc>
          <w:tcPr>
            <w:tcW w:w="942" w:type="dxa"/>
            <w:tcBorders>
              <w:top w:val="nil"/>
              <w:left w:val="nil"/>
              <w:bottom w:val="nil"/>
              <w:right w:val="nil"/>
            </w:tcBorders>
            <w:shd w:val="clear" w:color="000000" w:fill="BDD7EE"/>
            <w:noWrap/>
            <w:vAlign w:val="bottom"/>
          </w:tcPr>
          <w:p w14:paraId="26CE7F3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AF2A4F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29AF5E9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5E2A6D6" w14:textId="77777777">
        <w:trPr>
          <w:trHeight w:val="288"/>
        </w:trPr>
        <w:tc>
          <w:tcPr>
            <w:tcW w:w="3823" w:type="dxa"/>
            <w:tcBorders>
              <w:top w:val="nil"/>
              <w:left w:val="nil"/>
              <w:bottom w:val="nil"/>
              <w:right w:val="nil"/>
            </w:tcBorders>
            <w:shd w:val="clear" w:color="000000" w:fill="BDD7EE"/>
            <w:noWrap/>
            <w:vAlign w:val="bottom"/>
          </w:tcPr>
          <w:p w14:paraId="31C4DC2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683F402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5D8CEC8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3798" w:type="dxa"/>
            <w:gridSpan w:val="3"/>
            <w:tcBorders>
              <w:top w:val="nil"/>
              <w:left w:val="nil"/>
              <w:bottom w:val="nil"/>
              <w:right w:val="nil"/>
            </w:tcBorders>
            <w:shd w:val="clear" w:color="000000" w:fill="BDD7EE"/>
            <w:noWrap/>
            <w:vAlign w:val="bottom"/>
          </w:tcPr>
          <w:p w14:paraId="025B31D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Azithromycine+bronchocalme</w:t>
            </w:r>
            <w:proofErr w:type="spellEnd"/>
          </w:p>
        </w:tc>
        <w:tc>
          <w:tcPr>
            <w:tcW w:w="942" w:type="dxa"/>
            <w:tcBorders>
              <w:top w:val="nil"/>
              <w:left w:val="nil"/>
              <w:bottom w:val="nil"/>
              <w:right w:val="nil"/>
            </w:tcBorders>
            <w:shd w:val="clear" w:color="000000" w:fill="BDD7EE"/>
            <w:noWrap/>
            <w:vAlign w:val="bottom"/>
          </w:tcPr>
          <w:p w14:paraId="7F93D86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5B1C2F2" w14:textId="77777777">
        <w:trPr>
          <w:trHeight w:val="288"/>
        </w:trPr>
        <w:tc>
          <w:tcPr>
            <w:tcW w:w="3823" w:type="dxa"/>
            <w:tcBorders>
              <w:top w:val="nil"/>
              <w:left w:val="nil"/>
              <w:bottom w:val="nil"/>
              <w:right w:val="nil"/>
            </w:tcBorders>
            <w:shd w:val="clear" w:color="000000" w:fill="BDD7EE"/>
            <w:noWrap/>
            <w:vAlign w:val="bottom"/>
          </w:tcPr>
          <w:p w14:paraId="43275D6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5836DCF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4BC87B9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653A846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10F766B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7E2C9D3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109881A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29EBB07" w14:textId="77777777">
        <w:trPr>
          <w:trHeight w:val="288"/>
        </w:trPr>
        <w:tc>
          <w:tcPr>
            <w:tcW w:w="3823" w:type="dxa"/>
            <w:tcBorders>
              <w:top w:val="nil"/>
              <w:left w:val="nil"/>
              <w:bottom w:val="nil"/>
              <w:right w:val="nil"/>
            </w:tcBorders>
            <w:shd w:val="clear" w:color="000000" w:fill="BDD7EE"/>
            <w:noWrap/>
            <w:vAlign w:val="bottom"/>
          </w:tcPr>
          <w:p w14:paraId="4F90A65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w:t>
            </w:r>
          </w:p>
        </w:tc>
        <w:tc>
          <w:tcPr>
            <w:tcW w:w="422" w:type="dxa"/>
            <w:tcBorders>
              <w:top w:val="nil"/>
              <w:left w:val="nil"/>
              <w:bottom w:val="nil"/>
              <w:right w:val="nil"/>
            </w:tcBorders>
            <w:shd w:val="clear" w:color="000000" w:fill="BDD7EE"/>
            <w:noWrap/>
            <w:vAlign w:val="bottom"/>
          </w:tcPr>
          <w:p w14:paraId="7B4B1F9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0C06D91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7DC311E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3F92E73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01BD259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057C7F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7E07139" w14:textId="77777777">
        <w:trPr>
          <w:trHeight w:val="288"/>
        </w:trPr>
        <w:tc>
          <w:tcPr>
            <w:tcW w:w="4245" w:type="dxa"/>
            <w:gridSpan w:val="2"/>
            <w:tcBorders>
              <w:top w:val="nil"/>
              <w:left w:val="nil"/>
              <w:bottom w:val="nil"/>
              <w:right w:val="nil"/>
            </w:tcBorders>
            <w:shd w:val="clear" w:color="000000" w:fill="BDD7EE"/>
            <w:noWrap/>
            <w:vAlign w:val="bottom"/>
          </w:tcPr>
          <w:p w14:paraId="2E79CEC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Glucophage</w:t>
            </w:r>
          </w:p>
        </w:tc>
        <w:tc>
          <w:tcPr>
            <w:tcW w:w="421" w:type="dxa"/>
            <w:tcBorders>
              <w:top w:val="nil"/>
              <w:left w:val="nil"/>
              <w:bottom w:val="nil"/>
              <w:right w:val="nil"/>
            </w:tcBorders>
            <w:shd w:val="clear" w:color="000000" w:fill="BDD7EE"/>
            <w:noWrap/>
            <w:vAlign w:val="bottom"/>
          </w:tcPr>
          <w:p w14:paraId="11FEEDA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7BF00A7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42CD64A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C9BE93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644F78F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E1DD4F9" w14:textId="77777777">
        <w:trPr>
          <w:trHeight w:val="288"/>
        </w:trPr>
        <w:tc>
          <w:tcPr>
            <w:tcW w:w="3823" w:type="dxa"/>
            <w:tcBorders>
              <w:top w:val="nil"/>
              <w:left w:val="nil"/>
              <w:bottom w:val="nil"/>
              <w:right w:val="nil"/>
            </w:tcBorders>
            <w:shd w:val="clear" w:color="000000" w:fill="BDD7EE"/>
            <w:noWrap/>
            <w:vAlign w:val="bottom"/>
          </w:tcPr>
          <w:p w14:paraId="58647B3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21D7A8D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69756BB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58B13D7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2290DC9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2A6B9A8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7D14B2D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23EB829A" w14:textId="77777777">
        <w:trPr>
          <w:trHeight w:val="288"/>
        </w:trPr>
        <w:tc>
          <w:tcPr>
            <w:tcW w:w="4245" w:type="dxa"/>
            <w:gridSpan w:val="2"/>
            <w:tcBorders>
              <w:top w:val="nil"/>
              <w:left w:val="nil"/>
              <w:bottom w:val="nil"/>
              <w:right w:val="nil"/>
            </w:tcBorders>
            <w:shd w:val="clear" w:color="000000" w:fill="BDD7EE"/>
            <w:noWrap/>
            <w:vAlign w:val="bottom"/>
          </w:tcPr>
          <w:p w14:paraId="7980197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Insuline12ui</w:t>
            </w:r>
          </w:p>
        </w:tc>
        <w:tc>
          <w:tcPr>
            <w:tcW w:w="421" w:type="dxa"/>
            <w:tcBorders>
              <w:top w:val="nil"/>
              <w:left w:val="nil"/>
              <w:bottom w:val="nil"/>
              <w:right w:val="nil"/>
            </w:tcBorders>
            <w:shd w:val="clear" w:color="000000" w:fill="BDD7EE"/>
            <w:noWrap/>
            <w:vAlign w:val="bottom"/>
          </w:tcPr>
          <w:p w14:paraId="425DCF3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23E404F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7D9E6AB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4170CE2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1FA1F97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8DDA127" w14:textId="77777777">
        <w:trPr>
          <w:trHeight w:val="288"/>
        </w:trPr>
        <w:tc>
          <w:tcPr>
            <w:tcW w:w="4666" w:type="dxa"/>
            <w:gridSpan w:val="3"/>
            <w:tcBorders>
              <w:top w:val="nil"/>
              <w:left w:val="nil"/>
              <w:bottom w:val="nil"/>
              <w:right w:val="nil"/>
            </w:tcBorders>
            <w:shd w:val="clear" w:color="000000" w:fill="BDD7EE"/>
            <w:noWrap/>
            <w:vAlign w:val="bottom"/>
          </w:tcPr>
          <w:p w14:paraId="1CFE0EE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Insuline12ui+lantus20ui</w:t>
            </w:r>
          </w:p>
        </w:tc>
        <w:tc>
          <w:tcPr>
            <w:tcW w:w="1914" w:type="dxa"/>
            <w:tcBorders>
              <w:top w:val="nil"/>
              <w:left w:val="nil"/>
              <w:bottom w:val="nil"/>
              <w:right w:val="nil"/>
            </w:tcBorders>
            <w:shd w:val="clear" w:color="000000" w:fill="BDD7EE"/>
            <w:noWrap/>
            <w:vAlign w:val="bottom"/>
          </w:tcPr>
          <w:p w14:paraId="598EC6A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5566DAF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65EC073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2ADD5A4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865F93C" w14:textId="77777777">
        <w:trPr>
          <w:trHeight w:val="288"/>
        </w:trPr>
        <w:tc>
          <w:tcPr>
            <w:tcW w:w="6580" w:type="dxa"/>
            <w:gridSpan w:val="4"/>
            <w:tcBorders>
              <w:top w:val="nil"/>
              <w:left w:val="nil"/>
              <w:bottom w:val="nil"/>
              <w:right w:val="nil"/>
            </w:tcBorders>
            <w:shd w:val="clear" w:color="000000" w:fill="BDD7EE"/>
            <w:noWrap/>
            <w:vAlign w:val="bottom"/>
          </w:tcPr>
          <w:p w14:paraId="397C079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 humalog20ui+glarus25ui</w:t>
            </w:r>
          </w:p>
        </w:tc>
        <w:tc>
          <w:tcPr>
            <w:tcW w:w="942" w:type="dxa"/>
            <w:tcBorders>
              <w:top w:val="nil"/>
              <w:left w:val="nil"/>
              <w:bottom w:val="nil"/>
              <w:right w:val="nil"/>
            </w:tcBorders>
            <w:shd w:val="clear" w:color="000000" w:fill="BDD7EE"/>
            <w:noWrap/>
            <w:vAlign w:val="bottom"/>
          </w:tcPr>
          <w:p w14:paraId="663C356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2EDA5CF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0A2CEBF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2032A75F" w14:textId="77777777">
        <w:trPr>
          <w:trHeight w:val="288"/>
        </w:trPr>
        <w:tc>
          <w:tcPr>
            <w:tcW w:w="4666" w:type="dxa"/>
            <w:gridSpan w:val="3"/>
            <w:tcBorders>
              <w:top w:val="nil"/>
              <w:left w:val="nil"/>
              <w:bottom w:val="nil"/>
              <w:right w:val="nil"/>
            </w:tcBorders>
            <w:shd w:val="clear" w:color="000000" w:fill="BDD7EE"/>
            <w:noWrap/>
            <w:vAlign w:val="bottom"/>
          </w:tcPr>
          <w:p w14:paraId="7B17791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Glarus14ui+apidra8/12/14</w:t>
            </w:r>
          </w:p>
        </w:tc>
        <w:tc>
          <w:tcPr>
            <w:tcW w:w="1914" w:type="dxa"/>
            <w:tcBorders>
              <w:top w:val="nil"/>
              <w:left w:val="nil"/>
              <w:bottom w:val="nil"/>
              <w:right w:val="nil"/>
            </w:tcBorders>
            <w:shd w:val="clear" w:color="000000" w:fill="BDD7EE"/>
            <w:noWrap/>
            <w:vAlign w:val="bottom"/>
          </w:tcPr>
          <w:p w14:paraId="4E8C6E3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7C6C591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63A2BAE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74E8C0A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0AD123F" w14:textId="77777777">
        <w:trPr>
          <w:trHeight w:val="288"/>
        </w:trPr>
        <w:tc>
          <w:tcPr>
            <w:tcW w:w="3823" w:type="dxa"/>
            <w:tcBorders>
              <w:top w:val="nil"/>
              <w:left w:val="nil"/>
              <w:bottom w:val="nil"/>
              <w:right w:val="nil"/>
            </w:tcBorders>
            <w:shd w:val="clear" w:color="000000" w:fill="BDD7EE"/>
            <w:noWrap/>
            <w:vAlign w:val="bottom"/>
          </w:tcPr>
          <w:p w14:paraId="524BBB0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3E53F63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361A0FB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20DA015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6671B42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331A192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0B44FD1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3DDFF769" w14:textId="77777777">
        <w:trPr>
          <w:trHeight w:val="288"/>
        </w:trPr>
        <w:tc>
          <w:tcPr>
            <w:tcW w:w="4245" w:type="dxa"/>
            <w:gridSpan w:val="2"/>
            <w:tcBorders>
              <w:top w:val="nil"/>
              <w:left w:val="nil"/>
              <w:bottom w:val="nil"/>
              <w:right w:val="nil"/>
            </w:tcBorders>
            <w:shd w:val="clear" w:color="000000" w:fill="BDD7EE"/>
            <w:noWrap/>
            <w:vAlign w:val="bottom"/>
          </w:tcPr>
          <w:p w14:paraId="3AA1E70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Insuline18ui-26ui</w:t>
            </w:r>
          </w:p>
        </w:tc>
        <w:tc>
          <w:tcPr>
            <w:tcW w:w="421" w:type="dxa"/>
            <w:tcBorders>
              <w:top w:val="nil"/>
              <w:left w:val="nil"/>
              <w:bottom w:val="nil"/>
              <w:right w:val="nil"/>
            </w:tcBorders>
            <w:shd w:val="clear" w:color="000000" w:fill="BDD7EE"/>
            <w:noWrap/>
            <w:vAlign w:val="bottom"/>
          </w:tcPr>
          <w:p w14:paraId="702815C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4CD7B21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Cefacidal</w:t>
            </w:r>
            <w:proofErr w:type="spellEnd"/>
          </w:p>
        </w:tc>
        <w:tc>
          <w:tcPr>
            <w:tcW w:w="942" w:type="dxa"/>
            <w:tcBorders>
              <w:top w:val="nil"/>
              <w:left w:val="nil"/>
              <w:bottom w:val="nil"/>
              <w:right w:val="nil"/>
            </w:tcBorders>
            <w:shd w:val="clear" w:color="000000" w:fill="BDD7EE"/>
            <w:noWrap/>
            <w:vAlign w:val="bottom"/>
          </w:tcPr>
          <w:p w14:paraId="09D88EC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3E9268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3277ED8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4F89BDA" w14:textId="77777777">
        <w:trPr>
          <w:trHeight w:val="288"/>
        </w:trPr>
        <w:tc>
          <w:tcPr>
            <w:tcW w:w="4245" w:type="dxa"/>
            <w:gridSpan w:val="2"/>
            <w:tcBorders>
              <w:top w:val="nil"/>
              <w:left w:val="nil"/>
              <w:bottom w:val="nil"/>
              <w:right w:val="nil"/>
            </w:tcBorders>
            <w:shd w:val="clear" w:color="000000" w:fill="BDD7EE"/>
            <w:noWrap/>
            <w:vAlign w:val="bottom"/>
          </w:tcPr>
          <w:p w14:paraId="542346C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 bolus</w:t>
            </w:r>
          </w:p>
        </w:tc>
        <w:tc>
          <w:tcPr>
            <w:tcW w:w="421" w:type="dxa"/>
            <w:tcBorders>
              <w:top w:val="nil"/>
              <w:left w:val="nil"/>
              <w:bottom w:val="nil"/>
              <w:right w:val="nil"/>
            </w:tcBorders>
            <w:shd w:val="clear" w:color="000000" w:fill="BDD7EE"/>
            <w:noWrap/>
            <w:vAlign w:val="bottom"/>
          </w:tcPr>
          <w:p w14:paraId="685FB6C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3AF4ED9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614C14F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3ECC664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427B730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40B48A0" w14:textId="77777777">
        <w:trPr>
          <w:trHeight w:val="288"/>
        </w:trPr>
        <w:tc>
          <w:tcPr>
            <w:tcW w:w="4245" w:type="dxa"/>
            <w:gridSpan w:val="2"/>
            <w:tcBorders>
              <w:top w:val="nil"/>
              <w:left w:val="nil"/>
              <w:bottom w:val="nil"/>
              <w:right w:val="nil"/>
            </w:tcBorders>
            <w:shd w:val="clear" w:color="000000" w:fill="BDD7EE"/>
            <w:noWrap/>
            <w:vAlign w:val="bottom"/>
          </w:tcPr>
          <w:p w14:paraId="207FB88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Insuline18ui</w:t>
            </w:r>
          </w:p>
        </w:tc>
        <w:tc>
          <w:tcPr>
            <w:tcW w:w="421" w:type="dxa"/>
            <w:tcBorders>
              <w:top w:val="nil"/>
              <w:left w:val="nil"/>
              <w:bottom w:val="nil"/>
              <w:right w:val="nil"/>
            </w:tcBorders>
            <w:shd w:val="clear" w:color="000000" w:fill="BDD7EE"/>
            <w:noWrap/>
            <w:vAlign w:val="bottom"/>
          </w:tcPr>
          <w:p w14:paraId="5ED73E6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3798" w:type="dxa"/>
            <w:gridSpan w:val="3"/>
            <w:tcBorders>
              <w:top w:val="nil"/>
              <w:left w:val="nil"/>
              <w:bottom w:val="nil"/>
              <w:right w:val="nil"/>
            </w:tcBorders>
            <w:shd w:val="clear" w:color="000000" w:fill="BDD7EE"/>
            <w:noWrap/>
            <w:vAlign w:val="bottom"/>
          </w:tcPr>
          <w:p w14:paraId="0281DF1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Lyvotirox+atorvastatine</w:t>
            </w:r>
            <w:proofErr w:type="spellEnd"/>
          </w:p>
        </w:tc>
        <w:tc>
          <w:tcPr>
            <w:tcW w:w="942" w:type="dxa"/>
            <w:tcBorders>
              <w:top w:val="nil"/>
              <w:left w:val="nil"/>
              <w:bottom w:val="nil"/>
              <w:right w:val="nil"/>
            </w:tcBorders>
            <w:shd w:val="clear" w:color="000000" w:fill="BDD7EE"/>
            <w:noWrap/>
            <w:vAlign w:val="bottom"/>
          </w:tcPr>
          <w:p w14:paraId="4B576D5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4561ECAF" w14:textId="77777777">
        <w:trPr>
          <w:trHeight w:val="288"/>
        </w:trPr>
        <w:tc>
          <w:tcPr>
            <w:tcW w:w="4245" w:type="dxa"/>
            <w:gridSpan w:val="2"/>
            <w:tcBorders>
              <w:top w:val="nil"/>
              <w:left w:val="nil"/>
              <w:bottom w:val="nil"/>
              <w:right w:val="nil"/>
            </w:tcBorders>
            <w:shd w:val="clear" w:color="000000" w:fill="BDD7EE"/>
            <w:noWrap/>
            <w:vAlign w:val="bottom"/>
          </w:tcPr>
          <w:p w14:paraId="6FEE09A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Glucophage 850mg</w:t>
            </w:r>
          </w:p>
        </w:tc>
        <w:tc>
          <w:tcPr>
            <w:tcW w:w="421" w:type="dxa"/>
            <w:tcBorders>
              <w:top w:val="nil"/>
              <w:left w:val="nil"/>
              <w:bottom w:val="nil"/>
              <w:right w:val="nil"/>
            </w:tcBorders>
            <w:shd w:val="clear" w:color="000000" w:fill="BDD7EE"/>
            <w:noWrap/>
            <w:vAlign w:val="bottom"/>
          </w:tcPr>
          <w:p w14:paraId="19F60CE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0F592E9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6B5E282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1638632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0C416F9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54279EE" w14:textId="77777777">
        <w:trPr>
          <w:trHeight w:val="288"/>
        </w:trPr>
        <w:tc>
          <w:tcPr>
            <w:tcW w:w="4666" w:type="dxa"/>
            <w:gridSpan w:val="3"/>
            <w:tcBorders>
              <w:top w:val="nil"/>
              <w:left w:val="nil"/>
              <w:bottom w:val="nil"/>
              <w:right w:val="nil"/>
            </w:tcBorders>
            <w:shd w:val="clear" w:color="000000" w:fill="BDD7EE"/>
            <w:noWrap/>
            <w:vAlign w:val="bottom"/>
          </w:tcPr>
          <w:p w14:paraId="58C1DBB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Valens+tersiba+humalog</w:t>
            </w:r>
            <w:proofErr w:type="spellEnd"/>
          </w:p>
        </w:tc>
        <w:tc>
          <w:tcPr>
            <w:tcW w:w="3798" w:type="dxa"/>
            <w:gridSpan w:val="3"/>
            <w:tcBorders>
              <w:top w:val="nil"/>
              <w:left w:val="nil"/>
              <w:bottom w:val="nil"/>
              <w:right w:val="nil"/>
            </w:tcBorders>
            <w:shd w:val="clear" w:color="000000" w:fill="BDD7EE"/>
            <w:noWrap/>
            <w:vAlign w:val="bottom"/>
          </w:tcPr>
          <w:p w14:paraId="201651F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Spinozide+rosuvastatine</w:t>
            </w:r>
            <w:proofErr w:type="spellEnd"/>
          </w:p>
        </w:tc>
        <w:tc>
          <w:tcPr>
            <w:tcW w:w="942" w:type="dxa"/>
            <w:tcBorders>
              <w:top w:val="nil"/>
              <w:left w:val="nil"/>
              <w:bottom w:val="nil"/>
              <w:right w:val="nil"/>
            </w:tcBorders>
            <w:shd w:val="clear" w:color="000000" w:fill="BDD7EE"/>
            <w:noWrap/>
            <w:vAlign w:val="bottom"/>
          </w:tcPr>
          <w:p w14:paraId="13537F2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A9123B5" w14:textId="77777777">
        <w:trPr>
          <w:trHeight w:val="288"/>
        </w:trPr>
        <w:tc>
          <w:tcPr>
            <w:tcW w:w="3823" w:type="dxa"/>
            <w:tcBorders>
              <w:top w:val="nil"/>
              <w:left w:val="nil"/>
              <w:bottom w:val="nil"/>
              <w:right w:val="nil"/>
            </w:tcBorders>
            <w:shd w:val="clear" w:color="000000" w:fill="BDD7EE"/>
            <w:noWrap/>
            <w:vAlign w:val="bottom"/>
          </w:tcPr>
          <w:p w14:paraId="624C42C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22A9AEC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62A382E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35E2AE7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544CDCE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23C4896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45D80052"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B282788" w14:textId="77777777">
        <w:trPr>
          <w:trHeight w:val="288"/>
        </w:trPr>
        <w:tc>
          <w:tcPr>
            <w:tcW w:w="3823" w:type="dxa"/>
            <w:tcBorders>
              <w:top w:val="nil"/>
              <w:left w:val="nil"/>
              <w:bottom w:val="nil"/>
              <w:right w:val="nil"/>
            </w:tcBorders>
            <w:shd w:val="clear" w:color="000000" w:fill="BDD7EE"/>
            <w:noWrap/>
            <w:vAlign w:val="bottom"/>
          </w:tcPr>
          <w:p w14:paraId="7D13890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717CCD2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5BD8061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096EC35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7948239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F8B1D6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76F4748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6E3B2E5" w14:textId="77777777">
        <w:trPr>
          <w:trHeight w:val="288"/>
        </w:trPr>
        <w:tc>
          <w:tcPr>
            <w:tcW w:w="3823" w:type="dxa"/>
            <w:tcBorders>
              <w:top w:val="nil"/>
              <w:left w:val="nil"/>
              <w:bottom w:val="nil"/>
              <w:right w:val="nil"/>
            </w:tcBorders>
            <w:shd w:val="clear" w:color="000000" w:fill="BDD7EE"/>
            <w:noWrap/>
            <w:vAlign w:val="bottom"/>
          </w:tcPr>
          <w:p w14:paraId="6E814BD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71487E1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0519BDF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740" w:type="dxa"/>
            <w:gridSpan w:val="4"/>
            <w:tcBorders>
              <w:top w:val="nil"/>
              <w:left w:val="nil"/>
              <w:bottom w:val="nil"/>
              <w:right w:val="nil"/>
            </w:tcBorders>
            <w:shd w:val="clear" w:color="000000" w:fill="BDD7EE"/>
            <w:noWrap/>
            <w:vAlign w:val="bottom"/>
          </w:tcPr>
          <w:p w14:paraId="4799EB4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Antidépresseurs (</w:t>
            </w:r>
            <w:proofErr w:type="spellStart"/>
            <w:r>
              <w:rPr>
                <w:rFonts w:asciiTheme="minorBidi" w:eastAsia="Times New Roman" w:hAnsiTheme="minorBidi"/>
                <w:color w:val="000000"/>
                <w:kern w:val="0"/>
                <w:sz w:val="24"/>
                <w:szCs w:val="24"/>
                <w:lang w:eastAsia="fr-FR"/>
                <w14:ligatures w14:val="none"/>
              </w:rPr>
              <w:t>parixitine</w:t>
            </w:r>
            <w:proofErr w:type="spellEnd"/>
            <w:r>
              <w:rPr>
                <w:rFonts w:asciiTheme="minorBidi" w:eastAsia="Times New Roman" w:hAnsiTheme="minorBidi"/>
                <w:color w:val="000000"/>
                <w:kern w:val="0"/>
                <w:sz w:val="24"/>
                <w:szCs w:val="24"/>
                <w:lang w:eastAsia="fr-FR"/>
                <w14:ligatures w14:val="none"/>
              </w:rPr>
              <w:t xml:space="preserve"> 20mg-zolifey) olanzapine</w:t>
            </w:r>
          </w:p>
        </w:tc>
      </w:tr>
      <w:tr w:rsidR="00502BB2" w14:paraId="144B9332" w14:textId="77777777">
        <w:trPr>
          <w:trHeight w:val="288"/>
        </w:trPr>
        <w:tc>
          <w:tcPr>
            <w:tcW w:w="4245" w:type="dxa"/>
            <w:gridSpan w:val="2"/>
            <w:tcBorders>
              <w:top w:val="nil"/>
              <w:left w:val="nil"/>
              <w:bottom w:val="nil"/>
              <w:right w:val="nil"/>
            </w:tcBorders>
            <w:shd w:val="clear" w:color="000000" w:fill="BDD7EE"/>
            <w:noWrap/>
            <w:vAlign w:val="bottom"/>
          </w:tcPr>
          <w:p w14:paraId="1852EC9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 14ui</w:t>
            </w:r>
          </w:p>
        </w:tc>
        <w:tc>
          <w:tcPr>
            <w:tcW w:w="421" w:type="dxa"/>
            <w:tcBorders>
              <w:top w:val="nil"/>
              <w:left w:val="nil"/>
              <w:bottom w:val="nil"/>
              <w:right w:val="nil"/>
            </w:tcBorders>
            <w:shd w:val="clear" w:color="000000" w:fill="BDD7EE"/>
            <w:noWrap/>
            <w:vAlign w:val="bottom"/>
          </w:tcPr>
          <w:p w14:paraId="4049FD0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717D79B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75B26E5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93EEC5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DFED55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6296E6F0" w14:textId="77777777">
        <w:trPr>
          <w:trHeight w:val="288"/>
        </w:trPr>
        <w:tc>
          <w:tcPr>
            <w:tcW w:w="4245" w:type="dxa"/>
            <w:gridSpan w:val="2"/>
            <w:tcBorders>
              <w:top w:val="nil"/>
              <w:left w:val="nil"/>
              <w:bottom w:val="nil"/>
              <w:right w:val="nil"/>
            </w:tcBorders>
            <w:shd w:val="clear" w:color="000000" w:fill="BDD7EE"/>
            <w:noWrap/>
            <w:vAlign w:val="bottom"/>
          </w:tcPr>
          <w:p w14:paraId="325AB32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Glucophage</w:t>
            </w:r>
          </w:p>
        </w:tc>
        <w:tc>
          <w:tcPr>
            <w:tcW w:w="421" w:type="dxa"/>
            <w:tcBorders>
              <w:top w:val="nil"/>
              <w:left w:val="nil"/>
              <w:bottom w:val="nil"/>
              <w:right w:val="nil"/>
            </w:tcBorders>
            <w:shd w:val="clear" w:color="000000" w:fill="BDD7EE"/>
            <w:noWrap/>
            <w:vAlign w:val="bottom"/>
          </w:tcPr>
          <w:p w14:paraId="5C982F7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5561E6E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27E53E9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209EB93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043439B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2395E0D" w14:textId="77777777">
        <w:trPr>
          <w:trHeight w:val="288"/>
        </w:trPr>
        <w:tc>
          <w:tcPr>
            <w:tcW w:w="4245" w:type="dxa"/>
            <w:gridSpan w:val="2"/>
            <w:tcBorders>
              <w:top w:val="nil"/>
              <w:left w:val="nil"/>
              <w:bottom w:val="nil"/>
              <w:right w:val="nil"/>
            </w:tcBorders>
            <w:shd w:val="clear" w:color="000000" w:fill="BDD7EE"/>
            <w:noWrap/>
            <w:vAlign w:val="bottom"/>
          </w:tcPr>
          <w:p w14:paraId="52266DA3"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Nevropal+lantus</w:t>
            </w:r>
            <w:proofErr w:type="spellEnd"/>
          </w:p>
        </w:tc>
        <w:tc>
          <w:tcPr>
            <w:tcW w:w="421" w:type="dxa"/>
            <w:tcBorders>
              <w:top w:val="nil"/>
              <w:left w:val="nil"/>
              <w:bottom w:val="nil"/>
              <w:right w:val="nil"/>
            </w:tcBorders>
            <w:shd w:val="clear" w:color="000000" w:fill="BDD7EE"/>
            <w:noWrap/>
            <w:vAlign w:val="bottom"/>
          </w:tcPr>
          <w:p w14:paraId="2748E80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32F8FD0D"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1510A64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3AC7C15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1C52093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591D8B01" w14:textId="77777777">
        <w:trPr>
          <w:trHeight w:val="288"/>
        </w:trPr>
        <w:tc>
          <w:tcPr>
            <w:tcW w:w="4666" w:type="dxa"/>
            <w:gridSpan w:val="3"/>
            <w:tcBorders>
              <w:top w:val="nil"/>
              <w:left w:val="nil"/>
              <w:bottom w:val="nil"/>
              <w:right w:val="nil"/>
            </w:tcBorders>
            <w:shd w:val="clear" w:color="000000" w:fill="BDD7EE"/>
            <w:noWrap/>
            <w:vAlign w:val="bottom"/>
          </w:tcPr>
          <w:p w14:paraId="3DD9D9F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Insuline+glucophage+physiophamine+metformine</w:t>
            </w:r>
            <w:proofErr w:type="spellEnd"/>
          </w:p>
        </w:tc>
        <w:tc>
          <w:tcPr>
            <w:tcW w:w="1914" w:type="dxa"/>
            <w:tcBorders>
              <w:top w:val="nil"/>
              <w:left w:val="nil"/>
              <w:bottom w:val="nil"/>
              <w:right w:val="nil"/>
            </w:tcBorders>
            <w:shd w:val="clear" w:color="000000" w:fill="BDD7EE"/>
            <w:noWrap/>
            <w:vAlign w:val="bottom"/>
          </w:tcPr>
          <w:p w14:paraId="698C7A6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Lyvotirox</w:t>
            </w:r>
            <w:proofErr w:type="spellEnd"/>
          </w:p>
        </w:tc>
        <w:tc>
          <w:tcPr>
            <w:tcW w:w="942" w:type="dxa"/>
            <w:tcBorders>
              <w:top w:val="nil"/>
              <w:left w:val="nil"/>
              <w:bottom w:val="nil"/>
              <w:right w:val="nil"/>
            </w:tcBorders>
            <w:shd w:val="clear" w:color="000000" w:fill="BDD7EE"/>
            <w:noWrap/>
            <w:vAlign w:val="bottom"/>
          </w:tcPr>
          <w:p w14:paraId="4D40A3C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43D8B5E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6BC7553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ADCE7EA" w14:textId="77777777">
        <w:trPr>
          <w:trHeight w:val="288"/>
        </w:trPr>
        <w:tc>
          <w:tcPr>
            <w:tcW w:w="4666" w:type="dxa"/>
            <w:gridSpan w:val="3"/>
            <w:tcBorders>
              <w:top w:val="nil"/>
              <w:left w:val="nil"/>
              <w:bottom w:val="nil"/>
              <w:right w:val="nil"/>
            </w:tcBorders>
            <w:shd w:val="clear" w:color="000000" w:fill="BDD7EE"/>
            <w:noWrap/>
            <w:vAlign w:val="bottom"/>
          </w:tcPr>
          <w:p w14:paraId="5D6A85C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Metformine1g-glimeperide-glarus-30ui+insuline 10ui</w:t>
            </w:r>
          </w:p>
        </w:tc>
        <w:tc>
          <w:tcPr>
            <w:tcW w:w="1914" w:type="dxa"/>
            <w:tcBorders>
              <w:top w:val="nil"/>
              <w:left w:val="nil"/>
              <w:bottom w:val="nil"/>
              <w:right w:val="nil"/>
            </w:tcBorders>
            <w:shd w:val="clear" w:color="000000" w:fill="BDD7EE"/>
            <w:noWrap/>
            <w:vAlign w:val="bottom"/>
          </w:tcPr>
          <w:p w14:paraId="5A9BB42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Aprovax</w:t>
            </w:r>
            <w:proofErr w:type="spellEnd"/>
          </w:p>
        </w:tc>
        <w:tc>
          <w:tcPr>
            <w:tcW w:w="942" w:type="dxa"/>
            <w:tcBorders>
              <w:top w:val="nil"/>
              <w:left w:val="nil"/>
              <w:bottom w:val="nil"/>
              <w:right w:val="nil"/>
            </w:tcBorders>
            <w:shd w:val="clear" w:color="000000" w:fill="BDD7EE"/>
            <w:noWrap/>
            <w:vAlign w:val="bottom"/>
          </w:tcPr>
          <w:p w14:paraId="225C371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46B9E97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653E1C9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9736549" w14:textId="77777777">
        <w:trPr>
          <w:trHeight w:val="288"/>
        </w:trPr>
        <w:tc>
          <w:tcPr>
            <w:tcW w:w="4245" w:type="dxa"/>
            <w:gridSpan w:val="2"/>
            <w:tcBorders>
              <w:top w:val="nil"/>
              <w:left w:val="nil"/>
              <w:bottom w:val="nil"/>
              <w:right w:val="nil"/>
            </w:tcBorders>
            <w:shd w:val="clear" w:color="000000" w:fill="BDD7EE"/>
            <w:noWrap/>
            <w:vAlign w:val="bottom"/>
          </w:tcPr>
          <w:p w14:paraId="27B9C1E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Glucophage insuline</w:t>
            </w:r>
          </w:p>
        </w:tc>
        <w:tc>
          <w:tcPr>
            <w:tcW w:w="421" w:type="dxa"/>
            <w:tcBorders>
              <w:top w:val="nil"/>
              <w:left w:val="nil"/>
              <w:bottom w:val="nil"/>
              <w:right w:val="nil"/>
            </w:tcBorders>
            <w:shd w:val="clear" w:color="000000" w:fill="BDD7EE"/>
            <w:noWrap/>
            <w:vAlign w:val="bottom"/>
          </w:tcPr>
          <w:p w14:paraId="1C5119E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6E5BA25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Coaprovel</w:t>
            </w:r>
            <w:proofErr w:type="spellEnd"/>
          </w:p>
        </w:tc>
        <w:tc>
          <w:tcPr>
            <w:tcW w:w="942" w:type="dxa"/>
            <w:tcBorders>
              <w:top w:val="nil"/>
              <w:left w:val="nil"/>
              <w:bottom w:val="nil"/>
              <w:right w:val="nil"/>
            </w:tcBorders>
            <w:shd w:val="clear" w:color="000000" w:fill="BDD7EE"/>
            <w:noWrap/>
            <w:vAlign w:val="bottom"/>
          </w:tcPr>
          <w:p w14:paraId="4C6F9AE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70966BD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55B4858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07609F4E" w14:textId="77777777">
        <w:trPr>
          <w:trHeight w:val="288"/>
        </w:trPr>
        <w:tc>
          <w:tcPr>
            <w:tcW w:w="4245" w:type="dxa"/>
            <w:gridSpan w:val="2"/>
            <w:tcBorders>
              <w:top w:val="nil"/>
              <w:left w:val="nil"/>
              <w:bottom w:val="nil"/>
              <w:right w:val="nil"/>
            </w:tcBorders>
            <w:shd w:val="clear" w:color="000000" w:fill="BDD7EE"/>
            <w:noWrap/>
            <w:vAlign w:val="bottom"/>
          </w:tcPr>
          <w:p w14:paraId="2B0161C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Glarus18ui</w:t>
            </w:r>
          </w:p>
        </w:tc>
        <w:tc>
          <w:tcPr>
            <w:tcW w:w="421" w:type="dxa"/>
            <w:tcBorders>
              <w:top w:val="nil"/>
              <w:left w:val="nil"/>
              <w:bottom w:val="nil"/>
              <w:right w:val="nil"/>
            </w:tcBorders>
            <w:shd w:val="clear" w:color="000000" w:fill="BDD7EE"/>
            <w:noWrap/>
            <w:vAlign w:val="bottom"/>
          </w:tcPr>
          <w:p w14:paraId="6F12163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23EA476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6DC1AF40"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3A6D27FB"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08A39A3C"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16015F3A" w14:textId="77777777">
        <w:trPr>
          <w:trHeight w:val="288"/>
        </w:trPr>
        <w:tc>
          <w:tcPr>
            <w:tcW w:w="4245" w:type="dxa"/>
            <w:gridSpan w:val="2"/>
            <w:tcBorders>
              <w:top w:val="nil"/>
              <w:left w:val="nil"/>
              <w:bottom w:val="nil"/>
              <w:right w:val="nil"/>
            </w:tcBorders>
            <w:shd w:val="clear" w:color="000000" w:fill="BDD7EE"/>
            <w:noWrap/>
            <w:vAlign w:val="bottom"/>
          </w:tcPr>
          <w:p w14:paraId="20CC2CF5"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Metformine</w:t>
            </w:r>
          </w:p>
        </w:tc>
        <w:tc>
          <w:tcPr>
            <w:tcW w:w="421" w:type="dxa"/>
            <w:tcBorders>
              <w:top w:val="nil"/>
              <w:left w:val="nil"/>
              <w:bottom w:val="nil"/>
              <w:right w:val="nil"/>
            </w:tcBorders>
            <w:shd w:val="clear" w:color="000000" w:fill="BDD7EE"/>
            <w:noWrap/>
            <w:vAlign w:val="bottom"/>
          </w:tcPr>
          <w:p w14:paraId="53E580A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1914" w:type="dxa"/>
            <w:tcBorders>
              <w:top w:val="nil"/>
              <w:left w:val="nil"/>
              <w:bottom w:val="nil"/>
              <w:right w:val="nil"/>
            </w:tcBorders>
            <w:shd w:val="clear" w:color="000000" w:fill="BDD7EE"/>
            <w:noWrap/>
            <w:vAlign w:val="bottom"/>
          </w:tcPr>
          <w:p w14:paraId="2684813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445E2E4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6C22AAC4"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08FE11E6"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725E2091" w14:textId="77777777">
        <w:trPr>
          <w:trHeight w:val="288"/>
        </w:trPr>
        <w:tc>
          <w:tcPr>
            <w:tcW w:w="3823" w:type="dxa"/>
            <w:tcBorders>
              <w:top w:val="nil"/>
              <w:left w:val="nil"/>
              <w:bottom w:val="nil"/>
              <w:right w:val="nil"/>
            </w:tcBorders>
            <w:shd w:val="clear" w:color="000000" w:fill="BDD7EE"/>
            <w:noWrap/>
            <w:vAlign w:val="bottom"/>
          </w:tcPr>
          <w:p w14:paraId="4DAEF02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Insuline</w:t>
            </w:r>
          </w:p>
        </w:tc>
        <w:tc>
          <w:tcPr>
            <w:tcW w:w="422" w:type="dxa"/>
            <w:tcBorders>
              <w:top w:val="nil"/>
              <w:left w:val="nil"/>
              <w:bottom w:val="nil"/>
              <w:right w:val="nil"/>
            </w:tcBorders>
            <w:shd w:val="clear" w:color="000000" w:fill="BDD7EE"/>
            <w:noWrap/>
            <w:vAlign w:val="bottom"/>
          </w:tcPr>
          <w:p w14:paraId="4B4048A9"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7C304738"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2856" w:type="dxa"/>
            <w:gridSpan w:val="2"/>
            <w:tcBorders>
              <w:top w:val="nil"/>
              <w:left w:val="nil"/>
              <w:bottom w:val="nil"/>
              <w:right w:val="nil"/>
            </w:tcBorders>
            <w:shd w:val="clear" w:color="000000" w:fill="BDD7EE"/>
            <w:noWrap/>
            <w:vAlign w:val="bottom"/>
          </w:tcPr>
          <w:p w14:paraId="632928A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Ohozapine</w:t>
            </w:r>
            <w:proofErr w:type="spellEnd"/>
          </w:p>
        </w:tc>
        <w:tc>
          <w:tcPr>
            <w:tcW w:w="942" w:type="dxa"/>
            <w:tcBorders>
              <w:top w:val="nil"/>
              <w:left w:val="nil"/>
              <w:bottom w:val="nil"/>
              <w:right w:val="nil"/>
            </w:tcBorders>
            <w:shd w:val="clear" w:color="000000" w:fill="BDD7EE"/>
            <w:noWrap/>
            <w:vAlign w:val="bottom"/>
          </w:tcPr>
          <w:p w14:paraId="3D096B8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942" w:type="dxa"/>
            <w:tcBorders>
              <w:top w:val="nil"/>
              <w:left w:val="nil"/>
              <w:bottom w:val="nil"/>
              <w:right w:val="nil"/>
            </w:tcBorders>
            <w:shd w:val="clear" w:color="000000" w:fill="BDD7EE"/>
            <w:noWrap/>
            <w:vAlign w:val="bottom"/>
          </w:tcPr>
          <w:p w14:paraId="2D6E0FBA"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r w:rsidR="00502BB2" w14:paraId="22D91619" w14:textId="77777777">
        <w:trPr>
          <w:trHeight w:val="288"/>
        </w:trPr>
        <w:tc>
          <w:tcPr>
            <w:tcW w:w="3823" w:type="dxa"/>
            <w:tcBorders>
              <w:top w:val="nil"/>
              <w:left w:val="nil"/>
              <w:bottom w:val="nil"/>
              <w:right w:val="nil"/>
            </w:tcBorders>
            <w:shd w:val="clear" w:color="000000" w:fill="BDD7EE"/>
            <w:noWrap/>
            <w:vAlign w:val="bottom"/>
          </w:tcPr>
          <w:p w14:paraId="20145E41"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w:t>
            </w:r>
          </w:p>
        </w:tc>
        <w:tc>
          <w:tcPr>
            <w:tcW w:w="422" w:type="dxa"/>
            <w:tcBorders>
              <w:top w:val="nil"/>
              <w:left w:val="nil"/>
              <w:bottom w:val="nil"/>
              <w:right w:val="nil"/>
            </w:tcBorders>
            <w:shd w:val="clear" w:color="000000" w:fill="BDD7EE"/>
            <w:noWrap/>
            <w:vAlign w:val="bottom"/>
          </w:tcPr>
          <w:p w14:paraId="48709597"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421" w:type="dxa"/>
            <w:tcBorders>
              <w:top w:val="nil"/>
              <w:left w:val="nil"/>
              <w:bottom w:val="nil"/>
              <w:right w:val="nil"/>
            </w:tcBorders>
            <w:shd w:val="clear" w:color="000000" w:fill="BDD7EE"/>
            <w:noWrap/>
            <w:vAlign w:val="bottom"/>
          </w:tcPr>
          <w:p w14:paraId="2227A19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c>
          <w:tcPr>
            <w:tcW w:w="3798" w:type="dxa"/>
            <w:gridSpan w:val="3"/>
            <w:tcBorders>
              <w:top w:val="nil"/>
              <w:left w:val="nil"/>
              <w:bottom w:val="nil"/>
              <w:right w:val="nil"/>
            </w:tcBorders>
            <w:shd w:val="clear" w:color="000000" w:fill="BDD7EE"/>
            <w:noWrap/>
            <w:vAlign w:val="bottom"/>
          </w:tcPr>
          <w:p w14:paraId="656FE31E"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proofErr w:type="spellStart"/>
            <w:r>
              <w:rPr>
                <w:rFonts w:asciiTheme="minorBidi" w:eastAsia="Times New Roman" w:hAnsiTheme="minorBidi"/>
                <w:color w:val="000000"/>
                <w:kern w:val="0"/>
                <w:sz w:val="24"/>
                <w:szCs w:val="24"/>
                <w:lang w:eastAsia="fr-FR"/>
                <w14:ligatures w14:val="none"/>
              </w:rPr>
              <w:t>Amlodipine+lyvotyrox</w:t>
            </w:r>
            <w:proofErr w:type="spellEnd"/>
            <w:r>
              <w:rPr>
                <w:rFonts w:asciiTheme="minorBidi" w:eastAsia="Times New Roman" w:hAnsiTheme="minorBidi"/>
                <w:color w:val="000000"/>
                <w:kern w:val="0"/>
                <w:sz w:val="24"/>
                <w:szCs w:val="24"/>
                <w:lang w:eastAsia="fr-FR"/>
                <w14:ligatures w14:val="none"/>
              </w:rPr>
              <w:t>)</w:t>
            </w:r>
          </w:p>
        </w:tc>
        <w:tc>
          <w:tcPr>
            <w:tcW w:w="942" w:type="dxa"/>
            <w:tcBorders>
              <w:top w:val="nil"/>
              <w:left w:val="nil"/>
              <w:bottom w:val="nil"/>
              <w:right w:val="nil"/>
            </w:tcBorders>
            <w:shd w:val="clear" w:color="000000" w:fill="BDD7EE"/>
            <w:noWrap/>
            <w:vAlign w:val="bottom"/>
          </w:tcPr>
          <w:p w14:paraId="1068E2FF" w14:textId="77777777" w:rsidR="00502BB2" w:rsidRDefault="0069123E">
            <w:pPr>
              <w:spacing w:after="0" w:line="240" w:lineRule="auto"/>
              <w:rPr>
                <w:rFonts w:asciiTheme="minorBidi" w:eastAsia="Times New Roman" w:hAnsiTheme="minorBidi"/>
                <w:color w:val="000000"/>
                <w:kern w:val="0"/>
                <w:sz w:val="24"/>
                <w:szCs w:val="24"/>
                <w:lang w:eastAsia="fr-FR"/>
                <w14:ligatures w14:val="none"/>
              </w:rPr>
            </w:pPr>
            <w:r>
              <w:rPr>
                <w:rFonts w:asciiTheme="minorBidi" w:eastAsia="Times New Roman" w:hAnsiTheme="minorBidi"/>
                <w:color w:val="000000"/>
                <w:kern w:val="0"/>
                <w:sz w:val="24"/>
                <w:szCs w:val="24"/>
                <w:lang w:eastAsia="fr-FR"/>
                <w14:ligatures w14:val="none"/>
              </w:rPr>
              <w:t> </w:t>
            </w:r>
          </w:p>
        </w:tc>
      </w:tr>
    </w:tbl>
    <w:p w14:paraId="7D317F2A" w14:textId="77777777" w:rsidR="00502BB2" w:rsidRDefault="00502BB2">
      <w:pPr>
        <w:ind w:firstLine="708"/>
      </w:pPr>
    </w:p>
    <w:p w14:paraId="6EE87666" w14:textId="77777777" w:rsidR="00502BB2" w:rsidRDefault="00502BB2">
      <w:pPr>
        <w:pStyle w:val="Heading2"/>
        <w:rPr>
          <w:rFonts w:asciiTheme="minorBidi" w:hAnsiTheme="minorBidi" w:cstheme="minorBidi"/>
          <w:b/>
          <w:bCs/>
          <w:color w:val="auto"/>
          <w:sz w:val="28"/>
          <w:szCs w:val="28"/>
        </w:rPr>
      </w:pPr>
    </w:p>
    <w:p w14:paraId="671328E7" w14:textId="77777777" w:rsidR="00502BB2" w:rsidRDefault="0069123E">
      <w:pPr>
        <w:pStyle w:val="Heading2"/>
        <w:rPr>
          <w:rFonts w:asciiTheme="minorBidi" w:hAnsiTheme="minorBidi" w:cstheme="minorBidi"/>
          <w:b/>
          <w:bCs/>
          <w:color w:val="auto"/>
          <w:sz w:val="28"/>
          <w:szCs w:val="28"/>
        </w:rPr>
      </w:pPr>
      <w:bookmarkStart w:id="134" w:name="_Toc226577372"/>
      <w:r>
        <w:rPr>
          <w:rFonts w:asciiTheme="minorBidi" w:hAnsiTheme="minorBidi" w:cstheme="minorBidi"/>
          <w:b/>
          <w:bCs/>
          <w:color w:val="auto"/>
          <w:sz w:val="28"/>
          <w:szCs w:val="28"/>
        </w:rPr>
        <w:t>Annexe 04 :</w:t>
      </w:r>
      <w:bookmarkEnd w:id="134"/>
      <w:r>
        <w:rPr>
          <w:rFonts w:asciiTheme="minorBidi" w:hAnsiTheme="minorBidi" w:cstheme="minorBidi"/>
          <w:b/>
          <w:bCs/>
          <w:color w:val="auto"/>
          <w:sz w:val="28"/>
          <w:szCs w:val="28"/>
        </w:rPr>
        <w:t xml:space="preserve"> </w:t>
      </w:r>
    </w:p>
    <w:p w14:paraId="65151DE0" w14:textId="2F01125D" w:rsidR="00502BB2" w:rsidRDefault="0069123E">
      <w:pPr>
        <w:pStyle w:val="Caption"/>
        <w:keepNext/>
        <w:rPr>
          <w:rFonts w:asciiTheme="minorBidi" w:hAnsiTheme="minorBidi"/>
          <w:sz w:val="24"/>
          <w:szCs w:val="24"/>
        </w:rPr>
      </w:pPr>
      <w:bookmarkStart w:id="135" w:name="_Toc226577306"/>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11</w:t>
      </w:r>
      <w:r>
        <w:rPr>
          <w:rFonts w:asciiTheme="minorBidi" w:hAnsiTheme="minorBidi"/>
          <w:b/>
          <w:bCs/>
          <w:sz w:val="24"/>
          <w:szCs w:val="24"/>
        </w:rPr>
        <w:fldChar w:fldCharType="end"/>
      </w:r>
      <w:r>
        <w:rPr>
          <w:rFonts w:asciiTheme="minorBidi" w:hAnsiTheme="minorBidi"/>
          <w:sz w:val="24"/>
          <w:szCs w:val="24"/>
        </w:rPr>
        <w:t>: Résume des résultats des variables étudiées</w:t>
      </w:r>
      <w:bookmarkEnd w:id="135"/>
    </w:p>
    <w:tbl>
      <w:tblPr>
        <w:tblStyle w:val="PlainTable51"/>
        <w:tblW w:w="0" w:type="auto"/>
        <w:tblLook w:val="04A0" w:firstRow="1" w:lastRow="0" w:firstColumn="1" w:lastColumn="0" w:noHBand="0" w:noVBand="1"/>
      </w:tblPr>
      <w:tblGrid>
        <w:gridCol w:w="2141"/>
        <w:gridCol w:w="1945"/>
        <w:gridCol w:w="1945"/>
        <w:gridCol w:w="1938"/>
        <w:gridCol w:w="1427"/>
      </w:tblGrid>
      <w:tr w:rsidR="00502BB2" w14:paraId="4AA01A60" w14:textId="77777777" w:rsidTr="00502B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41" w:type="dxa"/>
          </w:tcPr>
          <w:p w14:paraId="76281328" w14:textId="77777777" w:rsidR="00502BB2" w:rsidRDefault="0069123E">
            <w:pPr>
              <w:spacing w:after="0" w:line="240" w:lineRule="auto"/>
              <w:rPr>
                <w:i w:val="0"/>
                <w:iCs w:val="0"/>
                <w:sz w:val="26"/>
              </w:rPr>
            </w:pPr>
            <w:r>
              <w:rPr>
                <w:sz w:val="26"/>
              </w:rPr>
              <w:t>Paramètres</w:t>
            </w:r>
          </w:p>
        </w:tc>
        <w:tc>
          <w:tcPr>
            <w:tcW w:w="1945" w:type="dxa"/>
          </w:tcPr>
          <w:p w14:paraId="7A73DE3D" w14:textId="77777777" w:rsidR="00502BB2" w:rsidRDefault="0069123E">
            <w:pPr>
              <w:spacing w:after="0" w:line="240" w:lineRule="auto"/>
              <w:cnfStyle w:val="100000000000" w:firstRow="1" w:lastRow="0" w:firstColumn="0" w:lastColumn="0" w:oddVBand="0" w:evenVBand="0" w:oddHBand="0" w:evenHBand="0" w:firstRowFirstColumn="0" w:firstRowLastColumn="0" w:lastRowFirstColumn="0" w:lastRowLastColumn="0"/>
              <w:rPr>
                <w:i w:val="0"/>
                <w:iCs w:val="0"/>
                <w:sz w:val="26"/>
              </w:rPr>
            </w:pPr>
            <w:r>
              <w:rPr>
                <w:sz w:val="26"/>
              </w:rPr>
              <w:t>Réanimation</w:t>
            </w:r>
          </w:p>
        </w:tc>
        <w:tc>
          <w:tcPr>
            <w:tcW w:w="1945" w:type="dxa"/>
          </w:tcPr>
          <w:p w14:paraId="4A21BBFA" w14:textId="77777777" w:rsidR="00502BB2" w:rsidRDefault="0069123E">
            <w:pPr>
              <w:spacing w:after="0" w:line="240" w:lineRule="auto"/>
              <w:cnfStyle w:val="100000000000" w:firstRow="1" w:lastRow="0" w:firstColumn="0" w:lastColumn="0" w:oddVBand="0" w:evenVBand="0" w:oddHBand="0" w:evenHBand="0" w:firstRowFirstColumn="0" w:firstRowLastColumn="0" w:lastRowFirstColumn="0" w:lastRowLastColumn="0"/>
              <w:rPr>
                <w:i w:val="0"/>
                <w:iCs w:val="0"/>
                <w:sz w:val="26"/>
              </w:rPr>
            </w:pPr>
            <w:r>
              <w:rPr>
                <w:sz w:val="26"/>
              </w:rPr>
              <w:t>Médecine interne</w:t>
            </w:r>
          </w:p>
        </w:tc>
        <w:tc>
          <w:tcPr>
            <w:tcW w:w="1938" w:type="dxa"/>
          </w:tcPr>
          <w:p w14:paraId="0B353C5E" w14:textId="77777777" w:rsidR="00502BB2" w:rsidRDefault="0069123E">
            <w:pPr>
              <w:spacing w:after="0" w:line="240" w:lineRule="auto"/>
              <w:cnfStyle w:val="100000000000" w:firstRow="1" w:lastRow="0" w:firstColumn="0" w:lastColumn="0" w:oddVBand="0" w:evenVBand="0" w:oddHBand="0" w:evenHBand="0" w:firstRowFirstColumn="0" w:firstRowLastColumn="0" w:lastRowFirstColumn="0" w:lastRowLastColumn="0"/>
              <w:rPr>
                <w:i w:val="0"/>
                <w:iCs w:val="0"/>
                <w:sz w:val="26"/>
              </w:rPr>
            </w:pPr>
            <w:r>
              <w:rPr>
                <w:sz w:val="26"/>
              </w:rPr>
              <w:t>significativité</w:t>
            </w:r>
          </w:p>
        </w:tc>
        <w:tc>
          <w:tcPr>
            <w:tcW w:w="1427" w:type="dxa"/>
          </w:tcPr>
          <w:p w14:paraId="14598DC2" w14:textId="77777777" w:rsidR="00502BB2" w:rsidRDefault="0069123E">
            <w:pPr>
              <w:spacing w:after="0" w:line="240" w:lineRule="auto"/>
              <w:cnfStyle w:val="100000000000" w:firstRow="1" w:lastRow="0" w:firstColumn="0" w:lastColumn="0" w:oddVBand="0" w:evenVBand="0" w:oddHBand="0" w:evenHBand="0" w:firstRowFirstColumn="0" w:firstRowLastColumn="0" w:lastRowFirstColumn="0" w:lastRowLastColumn="0"/>
              <w:rPr>
                <w:i w:val="0"/>
                <w:iCs w:val="0"/>
                <w:sz w:val="26"/>
              </w:rPr>
            </w:pPr>
            <w:r>
              <w:rPr>
                <w:sz w:val="26"/>
              </w:rPr>
              <w:t>Normes</w:t>
            </w:r>
          </w:p>
        </w:tc>
      </w:tr>
      <w:tr w:rsidR="00502BB2" w14:paraId="545436CF"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7B20B8FA" w14:textId="77777777" w:rsidR="00502BB2" w:rsidRDefault="0069123E">
            <w:pPr>
              <w:spacing w:after="0" w:line="240" w:lineRule="auto"/>
              <w:rPr>
                <w:i w:val="0"/>
                <w:iCs w:val="0"/>
                <w:sz w:val="26"/>
              </w:rPr>
            </w:pPr>
            <w:r>
              <w:rPr>
                <w:sz w:val="26"/>
              </w:rPr>
              <w:t>Glycémie (g/L)</w:t>
            </w:r>
          </w:p>
        </w:tc>
        <w:tc>
          <w:tcPr>
            <w:tcW w:w="1945" w:type="dxa"/>
            <w:shd w:val="clear" w:color="auto" w:fill="F2F2F2" w:themeFill="background1" w:themeFillShade="F2"/>
          </w:tcPr>
          <w:p w14:paraId="3165427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6.9</w:t>
            </w:r>
            <w:r>
              <w:rPr>
                <w:rFonts w:asciiTheme="minorBidi" w:hAnsiTheme="minorBidi"/>
                <w:sz w:val="24"/>
                <w:szCs w:val="24"/>
              </w:rPr>
              <w:t>±0.412</w:t>
            </w:r>
          </w:p>
        </w:tc>
        <w:tc>
          <w:tcPr>
            <w:tcW w:w="1945" w:type="dxa"/>
            <w:shd w:val="clear" w:color="auto" w:fill="F2F2F2" w:themeFill="background1" w:themeFillShade="F2"/>
          </w:tcPr>
          <w:p w14:paraId="14B280A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3.861</w:t>
            </w:r>
            <w:r>
              <w:rPr>
                <w:rFonts w:asciiTheme="minorBidi" w:hAnsiTheme="minorBidi"/>
                <w:sz w:val="24"/>
                <w:szCs w:val="24"/>
              </w:rPr>
              <w:t>±1.616</w:t>
            </w:r>
          </w:p>
        </w:tc>
        <w:tc>
          <w:tcPr>
            <w:tcW w:w="1938" w:type="dxa"/>
            <w:shd w:val="clear" w:color="auto" w:fill="F2F2F2" w:themeFill="background1" w:themeFillShade="F2"/>
          </w:tcPr>
          <w:p w14:paraId="1EFE68D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21083E8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0.7-1.10</w:t>
            </w:r>
          </w:p>
        </w:tc>
      </w:tr>
      <w:tr w:rsidR="00502BB2" w14:paraId="68ECC9D0"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3DC774A6" w14:textId="77777777" w:rsidR="00502BB2" w:rsidRDefault="0069123E">
            <w:pPr>
              <w:spacing w:after="0" w:line="240" w:lineRule="auto"/>
              <w:rPr>
                <w:i w:val="0"/>
                <w:iCs w:val="0"/>
                <w:sz w:val="26"/>
              </w:rPr>
            </w:pPr>
            <w:r>
              <w:rPr>
                <w:sz w:val="26"/>
              </w:rPr>
              <w:t>HbA1c (%)</w:t>
            </w:r>
          </w:p>
        </w:tc>
        <w:tc>
          <w:tcPr>
            <w:tcW w:w="1945" w:type="dxa"/>
          </w:tcPr>
          <w:p w14:paraId="27D2C8C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13.13</w:t>
            </w:r>
            <w:r>
              <w:rPr>
                <w:rFonts w:asciiTheme="minorBidi" w:hAnsiTheme="minorBidi"/>
                <w:sz w:val="24"/>
                <w:szCs w:val="24"/>
              </w:rPr>
              <w:t>±0.72</w:t>
            </w:r>
          </w:p>
        </w:tc>
        <w:tc>
          <w:tcPr>
            <w:tcW w:w="1945" w:type="dxa"/>
          </w:tcPr>
          <w:p w14:paraId="5C6DC7F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11.91</w:t>
            </w:r>
            <w:r>
              <w:rPr>
                <w:rFonts w:asciiTheme="minorBidi" w:hAnsiTheme="minorBidi"/>
                <w:sz w:val="24"/>
                <w:szCs w:val="24"/>
              </w:rPr>
              <w:t>±0.46</w:t>
            </w:r>
          </w:p>
        </w:tc>
        <w:tc>
          <w:tcPr>
            <w:tcW w:w="1938" w:type="dxa"/>
          </w:tcPr>
          <w:p w14:paraId="7A9D661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0362308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&lt;6</w:t>
            </w:r>
          </w:p>
        </w:tc>
      </w:tr>
      <w:tr w:rsidR="00502BB2" w14:paraId="0AE0306C"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5F072CCB" w14:textId="77777777" w:rsidR="00502BB2" w:rsidRDefault="0069123E">
            <w:pPr>
              <w:spacing w:after="0" w:line="240" w:lineRule="auto"/>
              <w:rPr>
                <w:i w:val="0"/>
                <w:iCs w:val="0"/>
                <w:sz w:val="26"/>
              </w:rPr>
            </w:pPr>
            <w:r>
              <w:rPr>
                <w:sz w:val="26"/>
              </w:rPr>
              <w:t>Acétonurie (mg/</w:t>
            </w:r>
            <w:proofErr w:type="spellStart"/>
            <w:r>
              <w:rPr>
                <w:sz w:val="26"/>
              </w:rPr>
              <w:t>dL</w:t>
            </w:r>
            <w:proofErr w:type="spellEnd"/>
            <w:r>
              <w:rPr>
                <w:sz w:val="26"/>
              </w:rPr>
              <w:t>)</w:t>
            </w:r>
          </w:p>
        </w:tc>
        <w:tc>
          <w:tcPr>
            <w:tcW w:w="1945" w:type="dxa"/>
            <w:shd w:val="clear" w:color="auto" w:fill="F2F2F2" w:themeFill="background1" w:themeFillShade="F2"/>
          </w:tcPr>
          <w:p w14:paraId="314E47B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107.8</w:t>
            </w:r>
            <w:r>
              <w:rPr>
                <w:rFonts w:asciiTheme="minorBidi" w:hAnsiTheme="minorBidi"/>
                <w:sz w:val="24"/>
                <w:szCs w:val="24"/>
              </w:rPr>
              <w:t>±8.05</w:t>
            </w:r>
          </w:p>
        </w:tc>
        <w:tc>
          <w:tcPr>
            <w:tcW w:w="1945" w:type="dxa"/>
            <w:shd w:val="clear" w:color="auto" w:fill="F2F2F2" w:themeFill="background1" w:themeFillShade="F2"/>
          </w:tcPr>
          <w:p w14:paraId="23229E9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80.68</w:t>
            </w:r>
            <w:r>
              <w:rPr>
                <w:rFonts w:asciiTheme="minorBidi" w:hAnsiTheme="minorBidi"/>
                <w:sz w:val="24"/>
                <w:szCs w:val="24"/>
              </w:rPr>
              <w:t>±9.468</w:t>
            </w:r>
          </w:p>
        </w:tc>
        <w:tc>
          <w:tcPr>
            <w:tcW w:w="1938" w:type="dxa"/>
            <w:shd w:val="clear" w:color="auto" w:fill="F2F2F2" w:themeFill="background1" w:themeFillShade="F2"/>
          </w:tcPr>
          <w:p w14:paraId="0229B4B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1505642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6A225223"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55AE5A34" w14:textId="77777777" w:rsidR="00502BB2" w:rsidRDefault="0069123E">
            <w:pPr>
              <w:spacing w:after="0" w:line="240" w:lineRule="auto"/>
              <w:rPr>
                <w:i w:val="0"/>
                <w:iCs w:val="0"/>
                <w:sz w:val="26"/>
              </w:rPr>
            </w:pPr>
            <w:r>
              <w:rPr>
                <w:sz w:val="26"/>
              </w:rPr>
              <w:t>Glucosurie (mg/</w:t>
            </w:r>
            <w:proofErr w:type="spellStart"/>
            <w:r>
              <w:rPr>
                <w:sz w:val="26"/>
              </w:rPr>
              <w:t>dL</w:t>
            </w:r>
            <w:proofErr w:type="spellEnd"/>
            <w:r>
              <w:rPr>
                <w:sz w:val="26"/>
              </w:rPr>
              <w:t>)</w:t>
            </w:r>
          </w:p>
        </w:tc>
        <w:tc>
          <w:tcPr>
            <w:tcW w:w="1945" w:type="dxa"/>
          </w:tcPr>
          <w:p w14:paraId="1CC754D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618.4</w:t>
            </w:r>
            <w:r>
              <w:rPr>
                <w:rFonts w:asciiTheme="minorBidi" w:hAnsiTheme="minorBidi"/>
                <w:sz w:val="24"/>
                <w:szCs w:val="24"/>
              </w:rPr>
              <w:t>±72.47</w:t>
            </w:r>
          </w:p>
        </w:tc>
        <w:tc>
          <w:tcPr>
            <w:tcW w:w="1945" w:type="dxa"/>
          </w:tcPr>
          <w:p w14:paraId="260F38D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693.2</w:t>
            </w:r>
            <w:r>
              <w:rPr>
                <w:rFonts w:asciiTheme="minorBidi" w:hAnsiTheme="minorBidi"/>
                <w:sz w:val="24"/>
                <w:szCs w:val="24"/>
              </w:rPr>
              <w:t>±63.66</w:t>
            </w:r>
          </w:p>
        </w:tc>
        <w:tc>
          <w:tcPr>
            <w:tcW w:w="1938" w:type="dxa"/>
          </w:tcPr>
          <w:p w14:paraId="31045D6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0F81303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28041746"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41B60B77" w14:textId="77777777" w:rsidR="00502BB2" w:rsidRDefault="0069123E">
            <w:pPr>
              <w:spacing w:after="0" w:line="240" w:lineRule="auto"/>
              <w:rPr>
                <w:i w:val="0"/>
                <w:iCs w:val="0"/>
                <w:sz w:val="26"/>
              </w:rPr>
            </w:pPr>
            <w:r>
              <w:rPr>
                <w:sz w:val="26"/>
              </w:rPr>
              <w:t>SpO2 (%)</w:t>
            </w:r>
          </w:p>
        </w:tc>
        <w:tc>
          <w:tcPr>
            <w:tcW w:w="1945" w:type="dxa"/>
            <w:shd w:val="clear" w:color="auto" w:fill="F2F2F2" w:themeFill="background1" w:themeFillShade="F2"/>
          </w:tcPr>
          <w:p w14:paraId="7FE2ACA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33.32</w:t>
            </w:r>
            <w:r>
              <w:rPr>
                <w:rFonts w:asciiTheme="minorBidi" w:hAnsiTheme="minorBidi"/>
                <w:sz w:val="24"/>
                <w:szCs w:val="24"/>
              </w:rPr>
              <w:t>±1.642</w:t>
            </w:r>
          </w:p>
        </w:tc>
        <w:tc>
          <w:tcPr>
            <w:tcW w:w="1945" w:type="dxa"/>
            <w:shd w:val="clear" w:color="auto" w:fill="F2F2F2" w:themeFill="background1" w:themeFillShade="F2"/>
          </w:tcPr>
          <w:p w14:paraId="36061CA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97.31</w:t>
            </w:r>
            <w:r>
              <w:rPr>
                <w:rFonts w:asciiTheme="minorBidi" w:hAnsiTheme="minorBidi"/>
                <w:sz w:val="24"/>
                <w:szCs w:val="24"/>
              </w:rPr>
              <w:t>±0.36</w:t>
            </w:r>
          </w:p>
        </w:tc>
        <w:tc>
          <w:tcPr>
            <w:tcW w:w="1938" w:type="dxa"/>
            <w:shd w:val="clear" w:color="auto" w:fill="F2F2F2" w:themeFill="background1" w:themeFillShade="F2"/>
          </w:tcPr>
          <w:p w14:paraId="2386A72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7FC79DF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95-100</w:t>
            </w:r>
          </w:p>
        </w:tc>
      </w:tr>
      <w:tr w:rsidR="00502BB2" w14:paraId="2FEDCC1B"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3FFDACB9" w14:textId="77777777" w:rsidR="00502BB2" w:rsidRDefault="0069123E">
            <w:pPr>
              <w:spacing w:after="0" w:line="240" w:lineRule="auto"/>
              <w:rPr>
                <w:i w:val="0"/>
                <w:iCs w:val="0"/>
                <w:sz w:val="26"/>
              </w:rPr>
            </w:pPr>
            <w:r>
              <w:rPr>
                <w:sz w:val="26"/>
              </w:rPr>
              <w:t>PO2 (mmHg)</w:t>
            </w:r>
          </w:p>
        </w:tc>
        <w:tc>
          <w:tcPr>
            <w:tcW w:w="1945" w:type="dxa"/>
          </w:tcPr>
          <w:p w14:paraId="01D81C5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165.2</w:t>
            </w:r>
            <w:r>
              <w:rPr>
                <w:rFonts w:asciiTheme="minorBidi" w:hAnsiTheme="minorBidi"/>
                <w:sz w:val="24"/>
                <w:szCs w:val="24"/>
              </w:rPr>
              <w:t>±23.67</w:t>
            </w:r>
          </w:p>
        </w:tc>
        <w:tc>
          <w:tcPr>
            <w:tcW w:w="1945" w:type="dxa"/>
          </w:tcPr>
          <w:p w14:paraId="5AC2DA2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161.3</w:t>
            </w:r>
            <w:r>
              <w:rPr>
                <w:rFonts w:asciiTheme="minorBidi" w:hAnsiTheme="minorBidi"/>
                <w:sz w:val="24"/>
                <w:szCs w:val="24"/>
              </w:rPr>
              <w:t>±30.34</w:t>
            </w:r>
          </w:p>
        </w:tc>
        <w:tc>
          <w:tcPr>
            <w:tcW w:w="1938" w:type="dxa"/>
          </w:tcPr>
          <w:p w14:paraId="00376FF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69CE71B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90-100</w:t>
            </w:r>
          </w:p>
        </w:tc>
      </w:tr>
      <w:tr w:rsidR="00502BB2" w14:paraId="22A8F247"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50BC0060" w14:textId="77777777" w:rsidR="00502BB2" w:rsidRDefault="0069123E">
            <w:pPr>
              <w:spacing w:after="0" w:line="240" w:lineRule="auto"/>
              <w:rPr>
                <w:i w:val="0"/>
                <w:iCs w:val="0"/>
                <w:sz w:val="26"/>
              </w:rPr>
            </w:pPr>
            <w:r>
              <w:rPr>
                <w:sz w:val="26"/>
              </w:rPr>
              <w:t>PCO2 (mmHg)</w:t>
            </w:r>
          </w:p>
        </w:tc>
        <w:tc>
          <w:tcPr>
            <w:tcW w:w="1945" w:type="dxa"/>
            <w:shd w:val="clear" w:color="auto" w:fill="F2F2F2" w:themeFill="background1" w:themeFillShade="F2"/>
          </w:tcPr>
          <w:p w14:paraId="5767312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27.04</w:t>
            </w:r>
            <w:r>
              <w:rPr>
                <w:rFonts w:asciiTheme="minorBidi" w:hAnsiTheme="minorBidi"/>
                <w:sz w:val="24"/>
                <w:szCs w:val="24"/>
              </w:rPr>
              <w:t>±5.781</w:t>
            </w:r>
          </w:p>
        </w:tc>
        <w:tc>
          <w:tcPr>
            <w:tcW w:w="1945" w:type="dxa"/>
            <w:shd w:val="clear" w:color="auto" w:fill="F2F2F2" w:themeFill="background1" w:themeFillShade="F2"/>
          </w:tcPr>
          <w:p w14:paraId="2CD65E1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23.93</w:t>
            </w:r>
            <w:r>
              <w:rPr>
                <w:rFonts w:asciiTheme="minorBidi" w:hAnsiTheme="minorBidi"/>
                <w:sz w:val="24"/>
                <w:szCs w:val="24"/>
              </w:rPr>
              <w:t>±4.162</w:t>
            </w:r>
          </w:p>
        </w:tc>
        <w:tc>
          <w:tcPr>
            <w:tcW w:w="1938" w:type="dxa"/>
            <w:shd w:val="clear" w:color="auto" w:fill="F2F2F2" w:themeFill="background1" w:themeFillShade="F2"/>
          </w:tcPr>
          <w:p w14:paraId="36E3A06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558D23F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35-45</w:t>
            </w:r>
          </w:p>
        </w:tc>
      </w:tr>
      <w:tr w:rsidR="00502BB2" w14:paraId="59EE2FBB"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46634ED5" w14:textId="77777777" w:rsidR="00502BB2" w:rsidRDefault="0069123E">
            <w:pPr>
              <w:spacing w:after="0" w:line="240" w:lineRule="auto"/>
              <w:rPr>
                <w:i w:val="0"/>
                <w:iCs w:val="0"/>
                <w:sz w:val="26"/>
              </w:rPr>
            </w:pPr>
            <w:r>
              <w:rPr>
                <w:sz w:val="26"/>
              </w:rPr>
              <w:t>pH</w:t>
            </w:r>
          </w:p>
        </w:tc>
        <w:tc>
          <w:tcPr>
            <w:tcW w:w="1945" w:type="dxa"/>
          </w:tcPr>
          <w:p w14:paraId="6AD40E5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6.86</w:t>
            </w:r>
            <w:r>
              <w:rPr>
                <w:rFonts w:asciiTheme="minorBidi" w:hAnsiTheme="minorBidi"/>
                <w:sz w:val="24"/>
                <w:szCs w:val="24"/>
              </w:rPr>
              <w:t>±0.148</w:t>
            </w:r>
          </w:p>
        </w:tc>
        <w:tc>
          <w:tcPr>
            <w:tcW w:w="1945" w:type="dxa"/>
          </w:tcPr>
          <w:p w14:paraId="64369B4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7.14</w:t>
            </w:r>
            <w:r>
              <w:rPr>
                <w:rFonts w:asciiTheme="minorBidi" w:hAnsiTheme="minorBidi"/>
                <w:sz w:val="24"/>
                <w:szCs w:val="24"/>
              </w:rPr>
              <w:t>±0.05</w:t>
            </w:r>
          </w:p>
        </w:tc>
        <w:tc>
          <w:tcPr>
            <w:tcW w:w="1938" w:type="dxa"/>
          </w:tcPr>
          <w:p w14:paraId="1DEF1EC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tcPr>
          <w:p w14:paraId="797D608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7.35-7.45</w:t>
            </w:r>
          </w:p>
        </w:tc>
      </w:tr>
      <w:tr w:rsidR="00502BB2" w14:paraId="5758DE53"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21A9F46C" w14:textId="77777777" w:rsidR="00502BB2" w:rsidRDefault="0069123E">
            <w:pPr>
              <w:spacing w:after="0" w:line="240" w:lineRule="auto"/>
              <w:rPr>
                <w:i w:val="0"/>
                <w:iCs w:val="0"/>
                <w:sz w:val="26"/>
              </w:rPr>
            </w:pPr>
            <w:r>
              <w:rPr>
                <w:sz w:val="26"/>
              </w:rPr>
              <w:t>Lactate (</w:t>
            </w:r>
            <w:proofErr w:type="spellStart"/>
            <w:r>
              <w:rPr>
                <w:sz w:val="26"/>
              </w:rPr>
              <w:t>mmol</w:t>
            </w:r>
            <w:proofErr w:type="spellEnd"/>
            <w:r>
              <w:rPr>
                <w:sz w:val="26"/>
              </w:rPr>
              <w:t>/L)</w:t>
            </w:r>
          </w:p>
        </w:tc>
        <w:tc>
          <w:tcPr>
            <w:tcW w:w="1945" w:type="dxa"/>
            <w:shd w:val="clear" w:color="auto" w:fill="F2F2F2" w:themeFill="background1" w:themeFillShade="F2"/>
          </w:tcPr>
          <w:p w14:paraId="1012A4C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2.76</w:t>
            </w:r>
            <w:r>
              <w:rPr>
                <w:rFonts w:asciiTheme="minorBidi" w:hAnsiTheme="minorBidi"/>
                <w:sz w:val="24"/>
                <w:szCs w:val="24"/>
              </w:rPr>
              <w:t>±0.34</w:t>
            </w:r>
          </w:p>
        </w:tc>
        <w:tc>
          <w:tcPr>
            <w:tcW w:w="1945" w:type="dxa"/>
            <w:shd w:val="clear" w:color="auto" w:fill="F2F2F2" w:themeFill="background1" w:themeFillShade="F2"/>
          </w:tcPr>
          <w:p w14:paraId="364771E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1.45</w:t>
            </w:r>
            <w:r>
              <w:rPr>
                <w:rFonts w:asciiTheme="minorBidi" w:hAnsiTheme="minorBidi"/>
                <w:sz w:val="24"/>
                <w:szCs w:val="24"/>
              </w:rPr>
              <w:t>±0.39</w:t>
            </w:r>
          </w:p>
        </w:tc>
        <w:tc>
          <w:tcPr>
            <w:tcW w:w="1938" w:type="dxa"/>
            <w:shd w:val="clear" w:color="auto" w:fill="F2F2F2" w:themeFill="background1" w:themeFillShade="F2"/>
          </w:tcPr>
          <w:p w14:paraId="6DEA8DE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5A53AE76"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0.5-2</w:t>
            </w:r>
          </w:p>
        </w:tc>
      </w:tr>
      <w:tr w:rsidR="00502BB2" w14:paraId="02B158FA"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075600DB" w14:textId="77777777" w:rsidR="00502BB2" w:rsidRDefault="0069123E">
            <w:pPr>
              <w:spacing w:after="0" w:line="240" w:lineRule="auto"/>
              <w:rPr>
                <w:i w:val="0"/>
                <w:iCs w:val="0"/>
                <w:sz w:val="26"/>
              </w:rPr>
            </w:pPr>
            <w:r>
              <w:rPr>
                <w:sz w:val="26"/>
              </w:rPr>
              <w:t>HCO3- (</w:t>
            </w:r>
            <w:proofErr w:type="spellStart"/>
            <w:r>
              <w:rPr>
                <w:sz w:val="26"/>
              </w:rPr>
              <w:t>mmol</w:t>
            </w:r>
            <w:proofErr w:type="spellEnd"/>
            <w:r>
              <w:rPr>
                <w:sz w:val="26"/>
              </w:rPr>
              <w:t>/L)</w:t>
            </w:r>
          </w:p>
        </w:tc>
        <w:tc>
          <w:tcPr>
            <w:tcW w:w="1945" w:type="dxa"/>
          </w:tcPr>
          <w:p w14:paraId="096B77D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8.81</w:t>
            </w:r>
            <w:r>
              <w:rPr>
                <w:rFonts w:asciiTheme="minorBidi" w:hAnsiTheme="minorBidi"/>
                <w:sz w:val="24"/>
                <w:szCs w:val="24"/>
              </w:rPr>
              <w:t>±2.36</w:t>
            </w:r>
          </w:p>
        </w:tc>
        <w:tc>
          <w:tcPr>
            <w:tcW w:w="1945" w:type="dxa"/>
          </w:tcPr>
          <w:p w14:paraId="7AE192B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18.57</w:t>
            </w:r>
            <w:r>
              <w:rPr>
                <w:rFonts w:asciiTheme="minorBidi" w:hAnsiTheme="minorBidi"/>
                <w:sz w:val="24"/>
                <w:szCs w:val="24"/>
              </w:rPr>
              <w:t>±2.84</w:t>
            </w:r>
          </w:p>
        </w:tc>
        <w:tc>
          <w:tcPr>
            <w:tcW w:w="1938" w:type="dxa"/>
          </w:tcPr>
          <w:p w14:paraId="3AC5D92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tcPr>
          <w:p w14:paraId="5329B92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22-26</w:t>
            </w:r>
          </w:p>
        </w:tc>
      </w:tr>
      <w:tr w:rsidR="00502BB2" w14:paraId="01A310C6"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68AF24B1" w14:textId="77777777" w:rsidR="00502BB2" w:rsidRDefault="0069123E">
            <w:pPr>
              <w:spacing w:after="0" w:line="240" w:lineRule="auto"/>
              <w:rPr>
                <w:i w:val="0"/>
                <w:iCs w:val="0"/>
                <w:sz w:val="26"/>
              </w:rPr>
            </w:pPr>
            <w:r>
              <w:rPr>
                <w:sz w:val="26"/>
              </w:rPr>
              <w:t>Sodium (</w:t>
            </w:r>
            <w:proofErr w:type="spellStart"/>
            <w:r>
              <w:rPr>
                <w:sz w:val="26"/>
              </w:rPr>
              <w:t>mmol</w:t>
            </w:r>
            <w:proofErr w:type="spellEnd"/>
            <w:r>
              <w:rPr>
                <w:sz w:val="26"/>
              </w:rPr>
              <w:t>/L)</w:t>
            </w:r>
          </w:p>
        </w:tc>
        <w:tc>
          <w:tcPr>
            <w:tcW w:w="1945" w:type="dxa"/>
            <w:shd w:val="clear" w:color="auto" w:fill="F2F2F2" w:themeFill="background1" w:themeFillShade="F2"/>
          </w:tcPr>
          <w:p w14:paraId="221F8B26"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137.3</w:t>
            </w:r>
            <w:r>
              <w:rPr>
                <w:rFonts w:asciiTheme="minorBidi" w:hAnsiTheme="minorBidi"/>
                <w:sz w:val="24"/>
                <w:szCs w:val="24"/>
              </w:rPr>
              <w:t>±2.447</w:t>
            </w:r>
          </w:p>
        </w:tc>
        <w:tc>
          <w:tcPr>
            <w:tcW w:w="1945" w:type="dxa"/>
            <w:shd w:val="clear" w:color="auto" w:fill="F2F2F2" w:themeFill="background1" w:themeFillShade="F2"/>
          </w:tcPr>
          <w:p w14:paraId="2F29EA0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137.4</w:t>
            </w:r>
            <w:r>
              <w:rPr>
                <w:rFonts w:asciiTheme="minorBidi" w:hAnsiTheme="minorBidi"/>
                <w:sz w:val="24"/>
                <w:szCs w:val="24"/>
              </w:rPr>
              <w:t>±1.296</w:t>
            </w:r>
          </w:p>
        </w:tc>
        <w:tc>
          <w:tcPr>
            <w:tcW w:w="1938" w:type="dxa"/>
            <w:shd w:val="clear" w:color="auto" w:fill="F2F2F2" w:themeFill="background1" w:themeFillShade="F2"/>
          </w:tcPr>
          <w:p w14:paraId="7604C5D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3027CAF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135-145</w:t>
            </w:r>
          </w:p>
        </w:tc>
      </w:tr>
      <w:tr w:rsidR="00502BB2" w14:paraId="5A177BD8"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67C72CA2" w14:textId="77777777" w:rsidR="00502BB2" w:rsidRDefault="0069123E">
            <w:pPr>
              <w:spacing w:after="0" w:line="240" w:lineRule="auto"/>
              <w:rPr>
                <w:i w:val="0"/>
                <w:iCs w:val="0"/>
                <w:sz w:val="26"/>
              </w:rPr>
            </w:pPr>
            <w:r>
              <w:rPr>
                <w:sz w:val="26"/>
              </w:rPr>
              <w:t>Chlore (</w:t>
            </w:r>
            <w:proofErr w:type="spellStart"/>
            <w:r>
              <w:rPr>
                <w:sz w:val="26"/>
              </w:rPr>
              <w:t>mmol</w:t>
            </w:r>
            <w:proofErr w:type="spellEnd"/>
            <w:r>
              <w:rPr>
                <w:sz w:val="26"/>
              </w:rPr>
              <w:t>/L)</w:t>
            </w:r>
          </w:p>
        </w:tc>
        <w:tc>
          <w:tcPr>
            <w:tcW w:w="1945" w:type="dxa"/>
          </w:tcPr>
          <w:p w14:paraId="5F081F3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107.6</w:t>
            </w:r>
            <w:r>
              <w:rPr>
                <w:rFonts w:asciiTheme="minorBidi" w:hAnsiTheme="minorBidi"/>
                <w:sz w:val="24"/>
                <w:szCs w:val="24"/>
              </w:rPr>
              <w:t>±6.047</w:t>
            </w:r>
          </w:p>
        </w:tc>
        <w:tc>
          <w:tcPr>
            <w:tcW w:w="1945" w:type="dxa"/>
          </w:tcPr>
          <w:p w14:paraId="55A34B0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100.1</w:t>
            </w:r>
            <w:r>
              <w:rPr>
                <w:rFonts w:asciiTheme="minorBidi" w:hAnsiTheme="minorBidi"/>
                <w:sz w:val="24"/>
                <w:szCs w:val="24"/>
              </w:rPr>
              <w:t>±1.986</w:t>
            </w:r>
          </w:p>
        </w:tc>
        <w:tc>
          <w:tcPr>
            <w:tcW w:w="1938" w:type="dxa"/>
          </w:tcPr>
          <w:p w14:paraId="74829D5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tcPr>
          <w:p w14:paraId="51DB033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98-108</w:t>
            </w:r>
          </w:p>
        </w:tc>
      </w:tr>
      <w:tr w:rsidR="00502BB2" w14:paraId="388ED989"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51F6FB03" w14:textId="77777777" w:rsidR="00502BB2" w:rsidRDefault="0069123E">
            <w:pPr>
              <w:spacing w:after="0" w:line="240" w:lineRule="auto"/>
              <w:rPr>
                <w:i w:val="0"/>
                <w:iCs w:val="0"/>
                <w:sz w:val="26"/>
              </w:rPr>
            </w:pPr>
            <w:r>
              <w:rPr>
                <w:sz w:val="26"/>
              </w:rPr>
              <w:t>Potassium (</w:t>
            </w:r>
            <w:proofErr w:type="spellStart"/>
            <w:r>
              <w:rPr>
                <w:sz w:val="26"/>
              </w:rPr>
              <w:t>mmol</w:t>
            </w:r>
            <w:proofErr w:type="spellEnd"/>
            <w:r>
              <w:rPr>
                <w:sz w:val="26"/>
              </w:rPr>
              <w:t>/L)</w:t>
            </w:r>
          </w:p>
        </w:tc>
        <w:tc>
          <w:tcPr>
            <w:tcW w:w="1945" w:type="dxa"/>
            <w:shd w:val="clear" w:color="auto" w:fill="F2F2F2" w:themeFill="background1" w:themeFillShade="F2"/>
          </w:tcPr>
          <w:p w14:paraId="0B08915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5.215</w:t>
            </w:r>
            <w:r>
              <w:rPr>
                <w:rFonts w:asciiTheme="minorBidi" w:hAnsiTheme="minorBidi"/>
                <w:sz w:val="24"/>
                <w:szCs w:val="24"/>
              </w:rPr>
              <w:t>±0.306</w:t>
            </w:r>
          </w:p>
        </w:tc>
        <w:tc>
          <w:tcPr>
            <w:tcW w:w="1945" w:type="dxa"/>
            <w:shd w:val="clear" w:color="auto" w:fill="F2F2F2" w:themeFill="background1" w:themeFillShade="F2"/>
          </w:tcPr>
          <w:p w14:paraId="62BD462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4.205</w:t>
            </w:r>
            <w:r>
              <w:rPr>
                <w:rFonts w:asciiTheme="minorBidi" w:hAnsiTheme="minorBidi"/>
                <w:sz w:val="24"/>
                <w:szCs w:val="24"/>
              </w:rPr>
              <w:t>±0.139</w:t>
            </w:r>
          </w:p>
        </w:tc>
        <w:tc>
          <w:tcPr>
            <w:tcW w:w="1938" w:type="dxa"/>
            <w:shd w:val="clear" w:color="auto" w:fill="F2F2F2" w:themeFill="background1" w:themeFillShade="F2"/>
          </w:tcPr>
          <w:p w14:paraId="1238DD7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2A95313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3.50-5</w:t>
            </w:r>
          </w:p>
        </w:tc>
      </w:tr>
      <w:tr w:rsidR="00502BB2" w14:paraId="736E7935"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5B3C3795" w14:textId="77777777" w:rsidR="00502BB2" w:rsidRDefault="0069123E">
            <w:pPr>
              <w:spacing w:after="0" w:line="240" w:lineRule="auto"/>
              <w:rPr>
                <w:i w:val="0"/>
                <w:iCs w:val="0"/>
                <w:sz w:val="26"/>
              </w:rPr>
            </w:pPr>
            <w:r>
              <w:rPr>
                <w:sz w:val="26"/>
              </w:rPr>
              <w:t>Trou anionique (mEq/L)</w:t>
            </w:r>
          </w:p>
        </w:tc>
        <w:tc>
          <w:tcPr>
            <w:tcW w:w="1945" w:type="dxa"/>
          </w:tcPr>
          <w:p w14:paraId="302D2EA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26.6</w:t>
            </w:r>
            <w:r>
              <w:rPr>
                <w:rFonts w:asciiTheme="minorBidi" w:hAnsiTheme="minorBidi"/>
                <w:sz w:val="24"/>
                <w:szCs w:val="24"/>
              </w:rPr>
              <w:t>±6.205</w:t>
            </w:r>
          </w:p>
        </w:tc>
        <w:tc>
          <w:tcPr>
            <w:tcW w:w="1945" w:type="dxa"/>
          </w:tcPr>
          <w:p w14:paraId="5063F9F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13.21</w:t>
            </w:r>
            <w:r>
              <w:rPr>
                <w:rFonts w:asciiTheme="minorBidi" w:hAnsiTheme="minorBidi"/>
                <w:sz w:val="24"/>
                <w:szCs w:val="24"/>
              </w:rPr>
              <w:t>±3.160</w:t>
            </w:r>
          </w:p>
        </w:tc>
        <w:tc>
          <w:tcPr>
            <w:tcW w:w="1938" w:type="dxa"/>
          </w:tcPr>
          <w:p w14:paraId="26783F4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tcPr>
          <w:p w14:paraId="6E2097D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8-16</w:t>
            </w:r>
          </w:p>
        </w:tc>
      </w:tr>
      <w:tr w:rsidR="00502BB2" w14:paraId="0DDE5781"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702CDF8F" w14:textId="77777777" w:rsidR="00502BB2" w:rsidRDefault="0069123E">
            <w:pPr>
              <w:spacing w:after="0" w:line="240" w:lineRule="auto"/>
              <w:rPr>
                <w:i w:val="0"/>
                <w:iCs w:val="0"/>
                <w:sz w:val="26"/>
              </w:rPr>
            </w:pPr>
            <w:r>
              <w:rPr>
                <w:sz w:val="26"/>
              </w:rPr>
              <w:t>Osmolarité (mOsm/L)</w:t>
            </w:r>
          </w:p>
        </w:tc>
        <w:tc>
          <w:tcPr>
            <w:tcW w:w="1945" w:type="dxa"/>
            <w:shd w:val="clear" w:color="auto" w:fill="F2F2F2" w:themeFill="background1" w:themeFillShade="F2"/>
          </w:tcPr>
          <w:p w14:paraId="0489742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324.3</w:t>
            </w:r>
            <w:r>
              <w:rPr>
                <w:rFonts w:asciiTheme="minorBidi" w:hAnsiTheme="minorBidi"/>
                <w:sz w:val="24"/>
                <w:szCs w:val="24"/>
              </w:rPr>
              <w:t>±6.76</w:t>
            </w:r>
          </w:p>
        </w:tc>
        <w:tc>
          <w:tcPr>
            <w:tcW w:w="1945" w:type="dxa"/>
            <w:shd w:val="clear" w:color="auto" w:fill="F2F2F2" w:themeFill="background1" w:themeFillShade="F2"/>
          </w:tcPr>
          <w:p w14:paraId="2839B1B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303.7</w:t>
            </w:r>
            <w:r>
              <w:rPr>
                <w:rFonts w:asciiTheme="minorBidi" w:hAnsiTheme="minorBidi"/>
                <w:sz w:val="24"/>
                <w:szCs w:val="24"/>
              </w:rPr>
              <w:t>±3.43</w:t>
            </w:r>
          </w:p>
        </w:tc>
        <w:tc>
          <w:tcPr>
            <w:tcW w:w="1938" w:type="dxa"/>
            <w:shd w:val="clear" w:color="auto" w:fill="F2F2F2" w:themeFill="background1" w:themeFillShade="F2"/>
          </w:tcPr>
          <w:p w14:paraId="48649AF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569ADB5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290-300</w:t>
            </w:r>
          </w:p>
        </w:tc>
      </w:tr>
      <w:tr w:rsidR="00502BB2" w14:paraId="03746D8F"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25CFA5BD" w14:textId="77777777" w:rsidR="00502BB2" w:rsidRDefault="0069123E">
            <w:pPr>
              <w:spacing w:after="0" w:line="240" w:lineRule="auto"/>
              <w:rPr>
                <w:i w:val="0"/>
                <w:iCs w:val="0"/>
                <w:sz w:val="26"/>
              </w:rPr>
            </w:pPr>
            <w:r>
              <w:rPr>
                <w:sz w:val="26"/>
              </w:rPr>
              <w:t>Score Glasgow</w:t>
            </w:r>
          </w:p>
        </w:tc>
        <w:tc>
          <w:tcPr>
            <w:tcW w:w="1945" w:type="dxa"/>
          </w:tcPr>
          <w:p w14:paraId="2A160E2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10.89</w:t>
            </w:r>
            <w:r>
              <w:rPr>
                <w:rFonts w:asciiTheme="minorBidi" w:hAnsiTheme="minorBidi"/>
                <w:sz w:val="24"/>
                <w:szCs w:val="24"/>
              </w:rPr>
              <w:t>±1.02</w:t>
            </w:r>
          </w:p>
        </w:tc>
        <w:tc>
          <w:tcPr>
            <w:tcW w:w="1945" w:type="dxa"/>
          </w:tcPr>
          <w:p w14:paraId="2B2943A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14.80</w:t>
            </w:r>
            <w:r>
              <w:rPr>
                <w:rFonts w:asciiTheme="minorBidi" w:hAnsiTheme="minorBidi"/>
                <w:sz w:val="24"/>
                <w:szCs w:val="24"/>
              </w:rPr>
              <w:t>±0.2</w:t>
            </w:r>
          </w:p>
        </w:tc>
        <w:tc>
          <w:tcPr>
            <w:tcW w:w="1938" w:type="dxa"/>
          </w:tcPr>
          <w:p w14:paraId="69166AC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tcPr>
          <w:p w14:paraId="1C0B958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15</w:t>
            </w:r>
          </w:p>
        </w:tc>
      </w:tr>
      <w:tr w:rsidR="00502BB2" w14:paraId="3D979E14"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249BB0B0" w14:textId="77777777" w:rsidR="00502BB2" w:rsidRDefault="0069123E">
            <w:pPr>
              <w:spacing w:after="0" w:line="240" w:lineRule="auto"/>
              <w:rPr>
                <w:i w:val="0"/>
                <w:iCs w:val="0"/>
                <w:sz w:val="26"/>
              </w:rPr>
            </w:pPr>
            <w:r>
              <w:rPr>
                <w:sz w:val="26"/>
              </w:rPr>
              <w:t>Température (°)</w:t>
            </w:r>
          </w:p>
        </w:tc>
        <w:tc>
          <w:tcPr>
            <w:tcW w:w="1945" w:type="dxa"/>
            <w:shd w:val="clear" w:color="auto" w:fill="F2F2F2" w:themeFill="background1" w:themeFillShade="F2"/>
          </w:tcPr>
          <w:p w14:paraId="03D60A16"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37.20</w:t>
            </w:r>
            <w:r>
              <w:rPr>
                <w:rFonts w:asciiTheme="minorBidi" w:hAnsiTheme="minorBidi"/>
                <w:sz w:val="24"/>
                <w:szCs w:val="24"/>
              </w:rPr>
              <w:t>±0.38</w:t>
            </w:r>
          </w:p>
        </w:tc>
        <w:tc>
          <w:tcPr>
            <w:tcW w:w="1945" w:type="dxa"/>
            <w:shd w:val="clear" w:color="auto" w:fill="F2F2F2" w:themeFill="background1" w:themeFillShade="F2"/>
          </w:tcPr>
          <w:p w14:paraId="454D9FA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37.24</w:t>
            </w:r>
            <w:r>
              <w:rPr>
                <w:rFonts w:asciiTheme="minorBidi" w:hAnsiTheme="minorBidi"/>
                <w:sz w:val="24"/>
                <w:szCs w:val="24"/>
              </w:rPr>
              <w:t>±0.27</w:t>
            </w:r>
          </w:p>
        </w:tc>
        <w:tc>
          <w:tcPr>
            <w:tcW w:w="1938" w:type="dxa"/>
            <w:shd w:val="clear" w:color="auto" w:fill="F2F2F2" w:themeFill="background1" w:themeFillShade="F2"/>
          </w:tcPr>
          <w:p w14:paraId="4DF34D5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09EBFEB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36.5-37.5</w:t>
            </w:r>
          </w:p>
        </w:tc>
      </w:tr>
      <w:tr w:rsidR="00502BB2" w14:paraId="77542B06"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7C9838CF" w14:textId="77777777" w:rsidR="00502BB2" w:rsidRDefault="0069123E">
            <w:pPr>
              <w:spacing w:after="0" w:line="240" w:lineRule="auto"/>
              <w:rPr>
                <w:i w:val="0"/>
                <w:iCs w:val="0"/>
                <w:sz w:val="26"/>
              </w:rPr>
            </w:pPr>
            <w:r>
              <w:rPr>
                <w:sz w:val="26"/>
              </w:rPr>
              <w:t>T. Systolique</w:t>
            </w:r>
          </w:p>
        </w:tc>
        <w:tc>
          <w:tcPr>
            <w:tcW w:w="1945" w:type="dxa"/>
          </w:tcPr>
          <w:p w14:paraId="76C84B5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10.24</w:t>
            </w:r>
            <w:r>
              <w:rPr>
                <w:rFonts w:asciiTheme="minorBidi" w:hAnsiTheme="minorBidi"/>
                <w:sz w:val="24"/>
                <w:szCs w:val="24"/>
              </w:rPr>
              <w:t>±0.61</w:t>
            </w:r>
          </w:p>
        </w:tc>
        <w:tc>
          <w:tcPr>
            <w:tcW w:w="1945" w:type="dxa"/>
          </w:tcPr>
          <w:p w14:paraId="7CFF496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11.32</w:t>
            </w:r>
            <w:r>
              <w:rPr>
                <w:rFonts w:asciiTheme="minorBidi" w:hAnsiTheme="minorBidi"/>
                <w:sz w:val="24"/>
                <w:szCs w:val="24"/>
              </w:rPr>
              <w:t>±0.28</w:t>
            </w:r>
          </w:p>
        </w:tc>
        <w:tc>
          <w:tcPr>
            <w:tcW w:w="1938" w:type="dxa"/>
          </w:tcPr>
          <w:p w14:paraId="68AFFDE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42ACB97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12</w:t>
            </w:r>
          </w:p>
        </w:tc>
      </w:tr>
      <w:tr w:rsidR="00502BB2" w14:paraId="295CE7EC"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73037DBD" w14:textId="77777777" w:rsidR="00502BB2" w:rsidRDefault="0069123E">
            <w:pPr>
              <w:spacing w:after="0" w:line="240" w:lineRule="auto"/>
              <w:rPr>
                <w:i w:val="0"/>
                <w:iCs w:val="0"/>
                <w:sz w:val="26"/>
              </w:rPr>
            </w:pPr>
            <w:r>
              <w:rPr>
                <w:sz w:val="26"/>
              </w:rPr>
              <w:t>T. Diastolique</w:t>
            </w:r>
          </w:p>
        </w:tc>
        <w:tc>
          <w:tcPr>
            <w:tcW w:w="1945" w:type="dxa"/>
            <w:shd w:val="clear" w:color="auto" w:fill="F2F2F2" w:themeFill="background1" w:themeFillShade="F2"/>
          </w:tcPr>
          <w:p w14:paraId="67FB9F8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6.235</w:t>
            </w:r>
            <w:r>
              <w:rPr>
                <w:rFonts w:asciiTheme="minorBidi" w:hAnsiTheme="minorBidi"/>
                <w:sz w:val="24"/>
                <w:szCs w:val="24"/>
              </w:rPr>
              <w:t>±0.235</w:t>
            </w:r>
          </w:p>
        </w:tc>
        <w:tc>
          <w:tcPr>
            <w:tcW w:w="1945" w:type="dxa"/>
            <w:shd w:val="clear" w:color="auto" w:fill="F2F2F2" w:themeFill="background1" w:themeFillShade="F2"/>
          </w:tcPr>
          <w:p w14:paraId="3B244FE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6.842</w:t>
            </w:r>
            <w:r>
              <w:rPr>
                <w:rFonts w:asciiTheme="minorBidi" w:hAnsiTheme="minorBidi"/>
                <w:sz w:val="24"/>
                <w:szCs w:val="24"/>
              </w:rPr>
              <w:t>±0.175</w:t>
            </w:r>
          </w:p>
        </w:tc>
        <w:tc>
          <w:tcPr>
            <w:tcW w:w="1938" w:type="dxa"/>
            <w:shd w:val="clear" w:color="auto" w:fill="F2F2F2" w:themeFill="background1" w:themeFillShade="F2"/>
          </w:tcPr>
          <w:p w14:paraId="7B1ABB9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4B9B8C2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8</w:t>
            </w:r>
          </w:p>
        </w:tc>
      </w:tr>
      <w:tr w:rsidR="00502BB2" w14:paraId="3CD98FFE"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6C3A1934" w14:textId="77777777" w:rsidR="00502BB2" w:rsidRDefault="0069123E">
            <w:pPr>
              <w:spacing w:after="0" w:line="240" w:lineRule="auto"/>
              <w:rPr>
                <w:i w:val="0"/>
                <w:iCs w:val="0"/>
                <w:sz w:val="26"/>
              </w:rPr>
            </w:pPr>
            <w:r>
              <w:rPr>
                <w:sz w:val="26"/>
              </w:rPr>
              <w:t>Fréquence cardiaque (</w:t>
            </w:r>
            <w:proofErr w:type="spellStart"/>
            <w:r>
              <w:rPr>
                <w:sz w:val="26"/>
              </w:rPr>
              <w:t>btm</w:t>
            </w:r>
            <w:proofErr w:type="spellEnd"/>
            <w:r>
              <w:rPr>
                <w:sz w:val="26"/>
              </w:rPr>
              <w:t>/min)</w:t>
            </w:r>
          </w:p>
        </w:tc>
        <w:tc>
          <w:tcPr>
            <w:tcW w:w="1945" w:type="dxa"/>
          </w:tcPr>
          <w:p w14:paraId="0BE5E33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117.1</w:t>
            </w:r>
            <w:r>
              <w:rPr>
                <w:rFonts w:asciiTheme="minorBidi" w:hAnsiTheme="minorBidi"/>
                <w:sz w:val="24"/>
                <w:szCs w:val="24"/>
              </w:rPr>
              <w:t>±7.336</w:t>
            </w:r>
          </w:p>
        </w:tc>
        <w:tc>
          <w:tcPr>
            <w:tcW w:w="1945" w:type="dxa"/>
          </w:tcPr>
          <w:p w14:paraId="0D4B850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90.71</w:t>
            </w:r>
            <w:r>
              <w:rPr>
                <w:rFonts w:asciiTheme="minorBidi" w:hAnsiTheme="minorBidi"/>
                <w:sz w:val="24"/>
                <w:szCs w:val="24"/>
              </w:rPr>
              <w:t>±4.083</w:t>
            </w:r>
          </w:p>
        </w:tc>
        <w:tc>
          <w:tcPr>
            <w:tcW w:w="1938" w:type="dxa"/>
          </w:tcPr>
          <w:p w14:paraId="253B770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tcPr>
          <w:p w14:paraId="7550EE7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60-100</w:t>
            </w:r>
          </w:p>
        </w:tc>
      </w:tr>
      <w:tr w:rsidR="00502BB2" w14:paraId="6A2EF7A8"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0175DCD1" w14:textId="77777777" w:rsidR="00502BB2" w:rsidRDefault="0069123E">
            <w:pPr>
              <w:spacing w:after="0" w:line="240" w:lineRule="auto"/>
              <w:rPr>
                <w:i w:val="0"/>
                <w:iCs w:val="0"/>
                <w:sz w:val="26"/>
              </w:rPr>
            </w:pPr>
            <w:r>
              <w:rPr>
                <w:sz w:val="26"/>
              </w:rPr>
              <w:t>Fréquence respiratoire (</w:t>
            </w:r>
            <w:proofErr w:type="spellStart"/>
            <w:r>
              <w:rPr>
                <w:sz w:val="26"/>
              </w:rPr>
              <w:t>cyc</w:t>
            </w:r>
            <w:proofErr w:type="spellEnd"/>
            <w:r>
              <w:rPr>
                <w:sz w:val="26"/>
              </w:rPr>
              <w:t>/min)</w:t>
            </w:r>
          </w:p>
        </w:tc>
        <w:tc>
          <w:tcPr>
            <w:tcW w:w="1945" w:type="dxa"/>
            <w:shd w:val="clear" w:color="auto" w:fill="F2F2F2" w:themeFill="background1" w:themeFillShade="F2"/>
          </w:tcPr>
          <w:p w14:paraId="21A4F3B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35</w:t>
            </w:r>
            <w:r>
              <w:rPr>
                <w:rFonts w:asciiTheme="minorBidi" w:hAnsiTheme="minorBidi"/>
                <w:sz w:val="24"/>
                <w:szCs w:val="24"/>
              </w:rPr>
              <w:t>±6.170</w:t>
            </w:r>
          </w:p>
        </w:tc>
        <w:tc>
          <w:tcPr>
            <w:tcW w:w="1945" w:type="dxa"/>
            <w:shd w:val="clear" w:color="auto" w:fill="F2F2F2" w:themeFill="background1" w:themeFillShade="F2"/>
          </w:tcPr>
          <w:p w14:paraId="5026EA1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17.93</w:t>
            </w:r>
            <w:r>
              <w:rPr>
                <w:rFonts w:asciiTheme="minorBidi" w:hAnsiTheme="minorBidi"/>
                <w:sz w:val="24"/>
                <w:szCs w:val="24"/>
              </w:rPr>
              <w:t>±0.93</w:t>
            </w:r>
          </w:p>
        </w:tc>
        <w:tc>
          <w:tcPr>
            <w:tcW w:w="1938" w:type="dxa"/>
            <w:shd w:val="clear" w:color="auto" w:fill="F2F2F2" w:themeFill="background1" w:themeFillShade="F2"/>
          </w:tcPr>
          <w:p w14:paraId="7FEEFFD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0EDA5D0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12-20</w:t>
            </w:r>
          </w:p>
        </w:tc>
      </w:tr>
      <w:tr w:rsidR="00502BB2" w14:paraId="1C244E17"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26DFD162" w14:textId="77777777" w:rsidR="00502BB2" w:rsidRDefault="0069123E">
            <w:pPr>
              <w:spacing w:after="0" w:line="240" w:lineRule="auto"/>
              <w:rPr>
                <w:i w:val="0"/>
                <w:iCs w:val="0"/>
                <w:sz w:val="26"/>
              </w:rPr>
            </w:pPr>
            <w:r>
              <w:rPr>
                <w:sz w:val="26"/>
              </w:rPr>
              <w:t>Globule blanc (10</w:t>
            </w:r>
            <w:r>
              <w:rPr>
                <w:sz w:val="26"/>
                <w:vertAlign w:val="superscript"/>
              </w:rPr>
              <w:t xml:space="preserve">3 </w:t>
            </w:r>
            <w:r>
              <w:rPr>
                <w:sz w:val="26"/>
              </w:rPr>
              <w:t>/mm</w:t>
            </w:r>
            <w:r>
              <w:rPr>
                <w:sz w:val="26"/>
                <w:vertAlign w:val="superscript"/>
              </w:rPr>
              <w:t> 3</w:t>
            </w:r>
            <w:r>
              <w:rPr>
                <w:sz w:val="26"/>
              </w:rPr>
              <w:t>)</w:t>
            </w:r>
          </w:p>
        </w:tc>
        <w:tc>
          <w:tcPr>
            <w:tcW w:w="1945" w:type="dxa"/>
          </w:tcPr>
          <w:p w14:paraId="73705EE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25.114</w:t>
            </w:r>
            <w:r>
              <w:rPr>
                <w:rFonts w:asciiTheme="minorBidi" w:hAnsiTheme="minorBidi"/>
                <w:sz w:val="24"/>
                <w:szCs w:val="24"/>
              </w:rPr>
              <w:t>±4.2</w:t>
            </w:r>
          </w:p>
        </w:tc>
        <w:tc>
          <w:tcPr>
            <w:tcW w:w="1945" w:type="dxa"/>
          </w:tcPr>
          <w:p w14:paraId="38F6075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45.12</w:t>
            </w:r>
            <w:r>
              <w:rPr>
                <w:rFonts w:asciiTheme="minorBidi" w:hAnsiTheme="minorBidi"/>
                <w:sz w:val="24"/>
                <w:szCs w:val="24"/>
              </w:rPr>
              <w:t>±6.19</w:t>
            </w:r>
          </w:p>
        </w:tc>
        <w:tc>
          <w:tcPr>
            <w:tcW w:w="1938" w:type="dxa"/>
          </w:tcPr>
          <w:p w14:paraId="518416E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tcPr>
          <w:p w14:paraId="5370742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4.5-10.5</w:t>
            </w:r>
          </w:p>
        </w:tc>
      </w:tr>
      <w:tr w:rsidR="00502BB2" w14:paraId="57DACA09"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37D486FF" w14:textId="77777777" w:rsidR="00502BB2" w:rsidRDefault="0069123E">
            <w:pPr>
              <w:spacing w:after="0" w:line="240" w:lineRule="auto"/>
              <w:rPr>
                <w:i w:val="0"/>
                <w:iCs w:val="0"/>
                <w:sz w:val="26"/>
              </w:rPr>
            </w:pPr>
            <w:r>
              <w:rPr>
                <w:sz w:val="26"/>
              </w:rPr>
              <w:t>Plaquettes (10</w:t>
            </w:r>
            <w:r>
              <w:rPr>
                <w:sz w:val="26"/>
                <w:vertAlign w:val="superscript"/>
              </w:rPr>
              <w:t xml:space="preserve">3 </w:t>
            </w:r>
            <w:r>
              <w:rPr>
                <w:sz w:val="26"/>
              </w:rPr>
              <w:t>/mm</w:t>
            </w:r>
            <w:r>
              <w:rPr>
                <w:sz w:val="26"/>
                <w:vertAlign w:val="superscript"/>
              </w:rPr>
              <w:t> 3</w:t>
            </w:r>
            <w:r>
              <w:rPr>
                <w:sz w:val="26"/>
              </w:rPr>
              <w:t>)</w:t>
            </w:r>
          </w:p>
        </w:tc>
        <w:tc>
          <w:tcPr>
            <w:tcW w:w="1945" w:type="dxa"/>
            <w:shd w:val="clear" w:color="auto" w:fill="F2F2F2" w:themeFill="background1" w:themeFillShade="F2"/>
          </w:tcPr>
          <w:p w14:paraId="6F4BB8C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 xml:space="preserve">329.45 </w:t>
            </w:r>
            <w:r>
              <w:rPr>
                <w:rFonts w:asciiTheme="minorBidi" w:hAnsiTheme="minorBidi"/>
                <w:sz w:val="24"/>
                <w:szCs w:val="24"/>
              </w:rPr>
              <w:t>±</w:t>
            </w:r>
            <w:r>
              <w:t>25.7</w:t>
            </w:r>
          </w:p>
        </w:tc>
        <w:tc>
          <w:tcPr>
            <w:tcW w:w="1945" w:type="dxa"/>
            <w:shd w:val="clear" w:color="auto" w:fill="F2F2F2" w:themeFill="background1" w:themeFillShade="F2"/>
          </w:tcPr>
          <w:p w14:paraId="46FCA9D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235.9</w:t>
            </w:r>
            <w:r>
              <w:rPr>
                <w:rFonts w:asciiTheme="minorBidi" w:hAnsiTheme="minorBidi"/>
                <w:sz w:val="24"/>
                <w:szCs w:val="24"/>
              </w:rPr>
              <w:t>±17.5</w:t>
            </w:r>
          </w:p>
        </w:tc>
        <w:tc>
          <w:tcPr>
            <w:tcW w:w="1938" w:type="dxa"/>
            <w:shd w:val="clear" w:color="auto" w:fill="F2F2F2" w:themeFill="background1" w:themeFillShade="F2"/>
          </w:tcPr>
          <w:p w14:paraId="660BBD1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6B63345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150-450</w:t>
            </w:r>
          </w:p>
        </w:tc>
      </w:tr>
      <w:tr w:rsidR="00502BB2" w14:paraId="0CD3DAEA"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7F85A78A" w14:textId="77777777" w:rsidR="00502BB2" w:rsidRDefault="0069123E">
            <w:pPr>
              <w:spacing w:after="0" w:line="240" w:lineRule="auto"/>
              <w:rPr>
                <w:i w:val="0"/>
                <w:iCs w:val="0"/>
                <w:sz w:val="26"/>
              </w:rPr>
            </w:pPr>
            <w:r>
              <w:rPr>
                <w:sz w:val="26"/>
              </w:rPr>
              <w:lastRenderedPageBreak/>
              <w:t>neutrophiles (10</w:t>
            </w:r>
            <w:r>
              <w:rPr>
                <w:sz w:val="26"/>
                <w:vertAlign w:val="superscript"/>
              </w:rPr>
              <w:t xml:space="preserve">3 </w:t>
            </w:r>
            <w:r>
              <w:rPr>
                <w:sz w:val="26"/>
              </w:rPr>
              <w:t>/mm</w:t>
            </w:r>
            <w:r>
              <w:rPr>
                <w:sz w:val="26"/>
                <w:vertAlign w:val="superscript"/>
              </w:rPr>
              <w:t> 3</w:t>
            </w:r>
            <w:r>
              <w:rPr>
                <w:sz w:val="26"/>
              </w:rPr>
              <w:t>)</w:t>
            </w:r>
          </w:p>
        </w:tc>
        <w:tc>
          <w:tcPr>
            <w:tcW w:w="1945" w:type="dxa"/>
          </w:tcPr>
          <w:p w14:paraId="4579450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38.97±8.28</w:t>
            </w:r>
          </w:p>
        </w:tc>
        <w:tc>
          <w:tcPr>
            <w:tcW w:w="1945" w:type="dxa"/>
          </w:tcPr>
          <w:p w14:paraId="585A0CF6"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33.8±5.21</w:t>
            </w:r>
          </w:p>
        </w:tc>
        <w:tc>
          <w:tcPr>
            <w:tcW w:w="1938" w:type="dxa"/>
          </w:tcPr>
          <w:p w14:paraId="11B0170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2B70435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1.4-5.5</w:t>
            </w:r>
          </w:p>
        </w:tc>
      </w:tr>
      <w:tr w:rsidR="00502BB2" w14:paraId="10EA5873"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3681FDFA" w14:textId="77777777" w:rsidR="00502BB2" w:rsidRDefault="0069123E">
            <w:pPr>
              <w:spacing w:after="0" w:line="240" w:lineRule="auto"/>
              <w:rPr>
                <w:i w:val="0"/>
                <w:iCs w:val="0"/>
                <w:sz w:val="26"/>
              </w:rPr>
            </w:pPr>
            <w:r>
              <w:rPr>
                <w:sz w:val="26"/>
              </w:rPr>
              <w:t>lymphocytes (10</w:t>
            </w:r>
            <w:r>
              <w:rPr>
                <w:sz w:val="26"/>
                <w:vertAlign w:val="superscript"/>
              </w:rPr>
              <w:t xml:space="preserve">3 </w:t>
            </w:r>
            <w:r>
              <w:rPr>
                <w:sz w:val="26"/>
              </w:rPr>
              <w:t>/mm</w:t>
            </w:r>
            <w:r>
              <w:rPr>
                <w:sz w:val="26"/>
                <w:vertAlign w:val="superscript"/>
              </w:rPr>
              <w:t> 3</w:t>
            </w:r>
            <w:r>
              <w:rPr>
                <w:sz w:val="26"/>
              </w:rPr>
              <w:t>)</w:t>
            </w:r>
          </w:p>
        </w:tc>
        <w:tc>
          <w:tcPr>
            <w:tcW w:w="1945" w:type="dxa"/>
            <w:shd w:val="clear" w:color="auto" w:fill="F2F2F2" w:themeFill="background1" w:themeFillShade="F2"/>
          </w:tcPr>
          <w:p w14:paraId="33F937C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2.54±1.5</w:t>
            </w:r>
          </w:p>
        </w:tc>
        <w:tc>
          <w:tcPr>
            <w:tcW w:w="1945" w:type="dxa"/>
            <w:shd w:val="clear" w:color="auto" w:fill="F2F2F2" w:themeFill="background1" w:themeFillShade="F2"/>
          </w:tcPr>
          <w:p w14:paraId="7ADDFD4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2.88±0.52</w:t>
            </w:r>
          </w:p>
        </w:tc>
        <w:tc>
          <w:tcPr>
            <w:tcW w:w="1938" w:type="dxa"/>
            <w:shd w:val="clear" w:color="auto" w:fill="F2F2F2" w:themeFill="background1" w:themeFillShade="F2"/>
          </w:tcPr>
          <w:p w14:paraId="314B404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2EEE8ED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1-4</w:t>
            </w:r>
          </w:p>
        </w:tc>
      </w:tr>
      <w:tr w:rsidR="00502BB2" w14:paraId="76EBAAFF"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094FE9CE" w14:textId="77777777" w:rsidR="00502BB2" w:rsidRDefault="0069123E">
            <w:pPr>
              <w:spacing w:after="0" w:line="240" w:lineRule="auto"/>
              <w:rPr>
                <w:i w:val="0"/>
                <w:iCs w:val="0"/>
                <w:sz w:val="26"/>
              </w:rPr>
            </w:pPr>
            <w:r>
              <w:rPr>
                <w:sz w:val="26"/>
              </w:rPr>
              <w:t>Monocytes (10</w:t>
            </w:r>
            <w:r>
              <w:rPr>
                <w:sz w:val="26"/>
                <w:vertAlign w:val="superscript"/>
              </w:rPr>
              <w:t xml:space="preserve">3 </w:t>
            </w:r>
            <w:r>
              <w:rPr>
                <w:sz w:val="26"/>
              </w:rPr>
              <w:t>/mm</w:t>
            </w:r>
            <w:r>
              <w:rPr>
                <w:sz w:val="26"/>
                <w:vertAlign w:val="superscript"/>
              </w:rPr>
              <w:t> 3</w:t>
            </w:r>
            <w:r>
              <w:rPr>
                <w:sz w:val="26"/>
              </w:rPr>
              <w:t>)</w:t>
            </w:r>
          </w:p>
        </w:tc>
        <w:tc>
          <w:tcPr>
            <w:tcW w:w="1945" w:type="dxa"/>
          </w:tcPr>
          <w:p w14:paraId="59C935E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0.73±0.16</w:t>
            </w:r>
          </w:p>
        </w:tc>
        <w:tc>
          <w:tcPr>
            <w:tcW w:w="1945" w:type="dxa"/>
          </w:tcPr>
          <w:p w14:paraId="17252C3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0.58±0.1</w:t>
            </w:r>
          </w:p>
        </w:tc>
        <w:tc>
          <w:tcPr>
            <w:tcW w:w="1938" w:type="dxa"/>
          </w:tcPr>
          <w:p w14:paraId="081D2EC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6297DC4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0.1-0.6</w:t>
            </w:r>
          </w:p>
        </w:tc>
      </w:tr>
      <w:tr w:rsidR="00502BB2" w14:paraId="54FD26E6"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4A0BF2D8" w14:textId="77777777" w:rsidR="00502BB2" w:rsidRDefault="0069123E">
            <w:pPr>
              <w:spacing w:after="0" w:line="240" w:lineRule="auto"/>
              <w:rPr>
                <w:i w:val="0"/>
                <w:iCs w:val="0"/>
                <w:sz w:val="26"/>
              </w:rPr>
            </w:pPr>
            <w:r>
              <w:rPr>
                <w:sz w:val="26"/>
              </w:rPr>
              <w:t>Eosinophiles (10</w:t>
            </w:r>
            <w:r>
              <w:rPr>
                <w:sz w:val="26"/>
                <w:vertAlign w:val="superscript"/>
              </w:rPr>
              <w:t xml:space="preserve">3 </w:t>
            </w:r>
            <w:r>
              <w:rPr>
                <w:sz w:val="26"/>
              </w:rPr>
              <w:t>/mm</w:t>
            </w:r>
            <w:r>
              <w:rPr>
                <w:sz w:val="26"/>
                <w:vertAlign w:val="superscript"/>
              </w:rPr>
              <w:t> 3</w:t>
            </w:r>
            <w:r>
              <w:rPr>
                <w:sz w:val="26"/>
              </w:rPr>
              <w:t>)</w:t>
            </w:r>
          </w:p>
        </w:tc>
        <w:tc>
          <w:tcPr>
            <w:tcW w:w="1945" w:type="dxa"/>
            <w:shd w:val="clear" w:color="auto" w:fill="F2F2F2" w:themeFill="background1" w:themeFillShade="F2"/>
          </w:tcPr>
          <w:p w14:paraId="47702C3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0.077±0.04</w:t>
            </w:r>
          </w:p>
        </w:tc>
        <w:tc>
          <w:tcPr>
            <w:tcW w:w="1945" w:type="dxa"/>
            <w:shd w:val="clear" w:color="auto" w:fill="F2F2F2" w:themeFill="background1" w:themeFillShade="F2"/>
          </w:tcPr>
          <w:p w14:paraId="355C714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0.059±0.02</w:t>
            </w:r>
          </w:p>
        </w:tc>
        <w:tc>
          <w:tcPr>
            <w:tcW w:w="1938" w:type="dxa"/>
            <w:shd w:val="clear" w:color="auto" w:fill="F2F2F2" w:themeFill="background1" w:themeFillShade="F2"/>
          </w:tcPr>
          <w:p w14:paraId="3673697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04A1F9E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0-0.8</w:t>
            </w:r>
          </w:p>
        </w:tc>
      </w:tr>
      <w:tr w:rsidR="00502BB2" w14:paraId="28943F0D"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0ECA3BCB" w14:textId="77777777" w:rsidR="00502BB2" w:rsidRDefault="0069123E">
            <w:pPr>
              <w:spacing w:after="0" w:line="240" w:lineRule="auto"/>
              <w:rPr>
                <w:i w:val="0"/>
                <w:iCs w:val="0"/>
                <w:sz w:val="26"/>
              </w:rPr>
            </w:pPr>
            <w:r>
              <w:rPr>
                <w:sz w:val="26"/>
              </w:rPr>
              <w:t>Basophiles (10</w:t>
            </w:r>
            <w:r>
              <w:rPr>
                <w:sz w:val="26"/>
                <w:vertAlign w:val="superscript"/>
              </w:rPr>
              <w:t xml:space="preserve">3 </w:t>
            </w:r>
            <w:r>
              <w:rPr>
                <w:sz w:val="26"/>
              </w:rPr>
              <w:t>/mm</w:t>
            </w:r>
            <w:r>
              <w:rPr>
                <w:sz w:val="26"/>
                <w:vertAlign w:val="superscript"/>
              </w:rPr>
              <w:t> 3</w:t>
            </w:r>
            <w:r>
              <w:rPr>
                <w:sz w:val="26"/>
              </w:rPr>
              <w:t>)</w:t>
            </w:r>
          </w:p>
        </w:tc>
        <w:tc>
          <w:tcPr>
            <w:tcW w:w="1945" w:type="dxa"/>
          </w:tcPr>
          <w:p w14:paraId="7F64A65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0.089±0.043</w:t>
            </w:r>
          </w:p>
        </w:tc>
        <w:tc>
          <w:tcPr>
            <w:tcW w:w="1945" w:type="dxa"/>
          </w:tcPr>
          <w:p w14:paraId="534E88B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0.16±0.05</w:t>
            </w:r>
          </w:p>
        </w:tc>
        <w:tc>
          <w:tcPr>
            <w:tcW w:w="1938" w:type="dxa"/>
          </w:tcPr>
          <w:p w14:paraId="06E07D6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6D386C0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0-0.1</w:t>
            </w:r>
          </w:p>
        </w:tc>
      </w:tr>
      <w:tr w:rsidR="00502BB2" w14:paraId="45FC5BFD"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5A43A3B9" w14:textId="77777777" w:rsidR="00502BB2" w:rsidRDefault="0069123E">
            <w:pPr>
              <w:spacing w:after="0" w:line="240" w:lineRule="auto"/>
              <w:rPr>
                <w:i w:val="0"/>
                <w:iCs w:val="0"/>
                <w:sz w:val="26"/>
              </w:rPr>
            </w:pPr>
            <w:r>
              <w:rPr>
                <w:sz w:val="26"/>
              </w:rPr>
              <w:t>Globules rouges (10</w:t>
            </w:r>
            <w:r>
              <w:rPr>
                <w:sz w:val="26"/>
                <w:vertAlign w:val="superscript"/>
              </w:rPr>
              <w:t xml:space="preserve">3 </w:t>
            </w:r>
            <w:r>
              <w:rPr>
                <w:sz w:val="26"/>
              </w:rPr>
              <w:t>/mm</w:t>
            </w:r>
            <w:r>
              <w:rPr>
                <w:sz w:val="26"/>
                <w:vertAlign w:val="superscript"/>
              </w:rPr>
              <w:t> 3</w:t>
            </w:r>
            <w:r>
              <w:rPr>
                <w:sz w:val="26"/>
              </w:rPr>
              <w:t>)</w:t>
            </w:r>
          </w:p>
        </w:tc>
        <w:tc>
          <w:tcPr>
            <w:tcW w:w="1945" w:type="dxa"/>
            <w:shd w:val="clear" w:color="auto" w:fill="F2F2F2" w:themeFill="background1" w:themeFillShade="F2"/>
          </w:tcPr>
          <w:p w14:paraId="6FECCD6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4.62±0.26</w:t>
            </w:r>
          </w:p>
        </w:tc>
        <w:tc>
          <w:tcPr>
            <w:tcW w:w="1945" w:type="dxa"/>
            <w:shd w:val="clear" w:color="auto" w:fill="F2F2F2" w:themeFill="background1" w:themeFillShade="F2"/>
          </w:tcPr>
          <w:p w14:paraId="6A915A36"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5.042±0.22</w:t>
            </w:r>
          </w:p>
        </w:tc>
        <w:tc>
          <w:tcPr>
            <w:tcW w:w="1938" w:type="dxa"/>
            <w:shd w:val="clear" w:color="auto" w:fill="F2F2F2" w:themeFill="background1" w:themeFillShade="F2"/>
          </w:tcPr>
          <w:p w14:paraId="653EA97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2FF786D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4-6</w:t>
            </w:r>
          </w:p>
        </w:tc>
      </w:tr>
      <w:tr w:rsidR="00502BB2" w14:paraId="135B690A"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7D61E51A" w14:textId="77777777" w:rsidR="00502BB2" w:rsidRDefault="0069123E">
            <w:pPr>
              <w:spacing w:after="0" w:line="240" w:lineRule="auto"/>
              <w:rPr>
                <w:i w:val="0"/>
                <w:iCs w:val="0"/>
                <w:sz w:val="26"/>
              </w:rPr>
            </w:pPr>
            <w:r>
              <w:rPr>
                <w:sz w:val="26"/>
              </w:rPr>
              <w:t>CCMH (g/</w:t>
            </w:r>
            <w:proofErr w:type="spellStart"/>
            <w:r>
              <w:rPr>
                <w:sz w:val="26"/>
              </w:rPr>
              <w:t>dL</w:t>
            </w:r>
            <w:proofErr w:type="spellEnd"/>
            <w:r>
              <w:rPr>
                <w:sz w:val="26"/>
              </w:rPr>
              <w:t>)</w:t>
            </w:r>
          </w:p>
        </w:tc>
        <w:tc>
          <w:tcPr>
            <w:tcW w:w="1945" w:type="dxa"/>
          </w:tcPr>
          <w:p w14:paraId="2F9F21B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33.72±0.33</w:t>
            </w:r>
          </w:p>
        </w:tc>
        <w:tc>
          <w:tcPr>
            <w:tcW w:w="1945" w:type="dxa"/>
          </w:tcPr>
          <w:p w14:paraId="06DE1CE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33.73±0.29</w:t>
            </w:r>
          </w:p>
        </w:tc>
        <w:tc>
          <w:tcPr>
            <w:tcW w:w="1938" w:type="dxa"/>
          </w:tcPr>
          <w:p w14:paraId="1207FAE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573124B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32-37</w:t>
            </w:r>
          </w:p>
        </w:tc>
      </w:tr>
      <w:tr w:rsidR="00502BB2" w14:paraId="517E6862"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34D95A35" w14:textId="77777777" w:rsidR="00502BB2" w:rsidRDefault="0069123E">
            <w:pPr>
              <w:spacing w:after="0" w:line="240" w:lineRule="auto"/>
              <w:rPr>
                <w:i w:val="0"/>
                <w:iCs w:val="0"/>
                <w:sz w:val="26"/>
              </w:rPr>
            </w:pPr>
            <w:r>
              <w:rPr>
                <w:sz w:val="26"/>
              </w:rPr>
              <w:t>Hémoglobine (g/</w:t>
            </w:r>
            <w:proofErr w:type="spellStart"/>
            <w:r>
              <w:rPr>
                <w:sz w:val="26"/>
              </w:rPr>
              <w:t>dL</w:t>
            </w:r>
            <w:proofErr w:type="spellEnd"/>
            <w:r>
              <w:rPr>
                <w:sz w:val="26"/>
              </w:rPr>
              <w:t>)</w:t>
            </w:r>
          </w:p>
        </w:tc>
        <w:tc>
          <w:tcPr>
            <w:tcW w:w="1945" w:type="dxa"/>
            <w:shd w:val="clear" w:color="auto" w:fill="F2F2F2" w:themeFill="background1" w:themeFillShade="F2"/>
          </w:tcPr>
          <w:p w14:paraId="1166783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13.33±0.71</w:t>
            </w:r>
          </w:p>
        </w:tc>
        <w:tc>
          <w:tcPr>
            <w:tcW w:w="1945" w:type="dxa"/>
            <w:shd w:val="clear" w:color="auto" w:fill="F2F2F2" w:themeFill="background1" w:themeFillShade="F2"/>
          </w:tcPr>
          <w:p w14:paraId="231EFBC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13.86±0.44</w:t>
            </w:r>
          </w:p>
        </w:tc>
        <w:tc>
          <w:tcPr>
            <w:tcW w:w="1938" w:type="dxa"/>
            <w:shd w:val="clear" w:color="auto" w:fill="F2F2F2" w:themeFill="background1" w:themeFillShade="F2"/>
          </w:tcPr>
          <w:p w14:paraId="76AE99D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23500FE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13-18</w:t>
            </w:r>
          </w:p>
        </w:tc>
      </w:tr>
      <w:tr w:rsidR="00502BB2" w14:paraId="2F484288"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7977472C" w14:textId="77777777" w:rsidR="00502BB2" w:rsidRDefault="0069123E">
            <w:pPr>
              <w:spacing w:after="0" w:line="240" w:lineRule="auto"/>
              <w:rPr>
                <w:i w:val="0"/>
                <w:iCs w:val="0"/>
                <w:sz w:val="26"/>
              </w:rPr>
            </w:pPr>
            <w:r>
              <w:rPr>
                <w:sz w:val="26"/>
              </w:rPr>
              <w:t>VGM (%)</w:t>
            </w:r>
          </w:p>
        </w:tc>
        <w:tc>
          <w:tcPr>
            <w:tcW w:w="1945" w:type="dxa"/>
          </w:tcPr>
          <w:p w14:paraId="6FF25F7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78.31±3.45</w:t>
            </w:r>
          </w:p>
        </w:tc>
        <w:tc>
          <w:tcPr>
            <w:tcW w:w="1945" w:type="dxa"/>
          </w:tcPr>
          <w:p w14:paraId="404440A7"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79.98±0.97</w:t>
            </w:r>
          </w:p>
        </w:tc>
        <w:tc>
          <w:tcPr>
            <w:tcW w:w="1938" w:type="dxa"/>
          </w:tcPr>
          <w:p w14:paraId="15710EF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2D584B2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80-100</w:t>
            </w:r>
          </w:p>
        </w:tc>
      </w:tr>
      <w:tr w:rsidR="00502BB2" w14:paraId="6256D5EC"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022D1EB2" w14:textId="77777777" w:rsidR="00502BB2" w:rsidRDefault="0069123E">
            <w:pPr>
              <w:spacing w:after="0" w:line="240" w:lineRule="auto"/>
              <w:rPr>
                <w:i w:val="0"/>
                <w:iCs w:val="0"/>
                <w:sz w:val="26"/>
              </w:rPr>
            </w:pPr>
            <w:proofErr w:type="spellStart"/>
            <w:r>
              <w:rPr>
                <w:sz w:val="26"/>
              </w:rPr>
              <w:t>Tp</w:t>
            </w:r>
            <w:proofErr w:type="spellEnd"/>
            <w:r>
              <w:rPr>
                <w:sz w:val="26"/>
              </w:rPr>
              <w:t xml:space="preserve"> (%)</w:t>
            </w:r>
          </w:p>
        </w:tc>
        <w:tc>
          <w:tcPr>
            <w:tcW w:w="1945" w:type="dxa"/>
            <w:shd w:val="clear" w:color="auto" w:fill="F2F2F2" w:themeFill="background1" w:themeFillShade="F2"/>
          </w:tcPr>
          <w:p w14:paraId="17FF4A7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68.4±2.45</w:t>
            </w:r>
          </w:p>
        </w:tc>
        <w:tc>
          <w:tcPr>
            <w:tcW w:w="1945" w:type="dxa"/>
            <w:shd w:val="clear" w:color="auto" w:fill="F2F2F2" w:themeFill="background1" w:themeFillShade="F2"/>
          </w:tcPr>
          <w:p w14:paraId="37D95D41"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79.38±3.76</w:t>
            </w:r>
          </w:p>
        </w:tc>
        <w:tc>
          <w:tcPr>
            <w:tcW w:w="1938" w:type="dxa"/>
            <w:shd w:val="clear" w:color="auto" w:fill="F2F2F2" w:themeFill="background1" w:themeFillShade="F2"/>
          </w:tcPr>
          <w:p w14:paraId="28DB47C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7F5E5E5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70-100</w:t>
            </w:r>
          </w:p>
        </w:tc>
      </w:tr>
      <w:tr w:rsidR="00502BB2" w14:paraId="7E54F9E3"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3859AB28" w14:textId="77777777" w:rsidR="00502BB2" w:rsidRDefault="0069123E">
            <w:pPr>
              <w:spacing w:after="0" w:line="240" w:lineRule="auto"/>
              <w:rPr>
                <w:i w:val="0"/>
                <w:iCs w:val="0"/>
                <w:sz w:val="26"/>
              </w:rPr>
            </w:pPr>
            <w:r>
              <w:rPr>
                <w:sz w:val="26"/>
              </w:rPr>
              <w:t>Triglycéride (g/L)</w:t>
            </w:r>
          </w:p>
        </w:tc>
        <w:tc>
          <w:tcPr>
            <w:tcW w:w="1945" w:type="dxa"/>
          </w:tcPr>
          <w:p w14:paraId="6307F100"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1.916±0.403</w:t>
            </w:r>
          </w:p>
        </w:tc>
        <w:tc>
          <w:tcPr>
            <w:tcW w:w="1945" w:type="dxa"/>
          </w:tcPr>
          <w:p w14:paraId="42B5742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1.504±0.117</w:t>
            </w:r>
          </w:p>
        </w:tc>
        <w:tc>
          <w:tcPr>
            <w:tcW w:w="1938" w:type="dxa"/>
          </w:tcPr>
          <w:p w14:paraId="4636C0C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3D8DA73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0.45-1.5</w:t>
            </w:r>
          </w:p>
        </w:tc>
      </w:tr>
      <w:tr w:rsidR="00502BB2" w14:paraId="56B337A6"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1D0384E9" w14:textId="77777777" w:rsidR="00502BB2" w:rsidRDefault="0069123E">
            <w:pPr>
              <w:spacing w:after="0" w:line="240" w:lineRule="auto"/>
              <w:rPr>
                <w:i w:val="0"/>
                <w:iCs w:val="0"/>
                <w:sz w:val="26"/>
              </w:rPr>
            </w:pPr>
            <w:r>
              <w:rPr>
                <w:sz w:val="26"/>
              </w:rPr>
              <w:t>Cholestérol (g/L)</w:t>
            </w:r>
          </w:p>
        </w:tc>
        <w:tc>
          <w:tcPr>
            <w:tcW w:w="1945" w:type="dxa"/>
            <w:shd w:val="clear" w:color="auto" w:fill="F2F2F2" w:themeFill="background1" w:themeFillShade="F2"/>
          </w:tcPr>
          <w:p w14:paraId="2B0E937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1.356±0.117</w:t>
            </w:r>
          </w:p>
        </w:tc>
        <w:tc>
          <w:tcPr>
            <w:tcW w:w="1945" w:type="dxa"/>
            <w:shd w:val="clear" w:color="auto" w:fill="F2F2F2" w:themeFill="background1" w:themeFillShade="F2"/>
          </w:tcPr>
          <w:p w14:paraId="693C3E9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1.494±0.093</w:t>
            </w:r>
          </w:p>
        </w:tc>
        <w:tc>
          <w:tcPr>
            <w:tcW w:w="1938" w:type="dxa"/>
            <w:shd w:val="clear" w:color="auto" w:fill="F2F2F2" w:themeFill="background1" w:themeFillShade="F2"/>
          </w:tcPr>
          <w:p w14:paraId="473A9C3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shd w:val="clear" w:color="auto" w:fill="F2F2F2" w:themeFill="background1" w:themeFillShade="F2"/>
          </w:tcPr>
          <w:p w14:paraId="2E88F1D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1.25-2</w:t>
            </w:r>
          </w:p>
        </w:tc>
      </w:tr>
      <w:tr w:rsidR="00502BB2" w14:paraId="63E1BC71"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346AB405" w14:textId="77777777" w:rsidR="00502BB2" w:rsidRDefault="0069123E">
            <w:pPr>
              <w:spacing w:after="0" w:line="240" w:lineRule="auto"/>
              <w:rPr>
                <w:i w:val="0"/>
                <w:iCs w:val="0"/>
                <w:sz w:val="26"/>
              </w:rPr>
            </w:pPr>
            <w:r>
              <w:rPr>
                <w:sz w:val="26"/>
              </w:rPr>
              <w:t>ASAT (U/L)</w:t>
            </w:r>
          </w:p>
        </w:tc>
        <w:tc>
          <w:tcPr>
            <w:tcW w:w="1945" w:type="dxa"/>
          </w:tcPr>
          <w:p w14:paraId="7C89000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42.38±18.81</w:t>
            </w:r>
          </w:p>
        </w:tc>
        <w:tc>
          <w:tcPr>
            <w:tcW w:w="1945" w:type="dxa"/>
          </w:tcPr>
          <w:p w14:paraId="2ED3E391"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23.64±2.45</w:t>
            </w:r>
          </w:p>
        </w:tc>
        <w:tc>
          <w:tcPr>
            <w:tcW w:w="1938" w:type="dxa"/>
          </w:tcPr>
          <w:p w14:paraId="11CDFA6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260D361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0-40</w:t>
            </w:r>
          </w:p>
        </w:tc>
      </w:tr>
      <w:tr w:rsidR="00502BB2" w14:paraId="447EB889"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660726F2" w14:textId="77777777" w:rsidR="00502BB2" w:rsidRDefault="0069123E">
            <w:pPr>
              <w:spacing w:after="0" w:line="240" w:lineRule="auto"/>
              <w:rPr>
                <w:i w:val="0"/>
                <w:iCs w:val="0"/>
                <w:sz w:val="26"/>
              </w:rPr>
            </w:pPr>
            <w:r>
              <w:rPr>
                <w:sz w:val="26"/>
              </w:rPr>
              <w:t>ALAT (U/L)</w:t>
            </w:r>
          </w:p>
        </w:tc>
        <w:tc>
          <w:tcPr>
            <w:tcW w:w="1945" w:type="dxa"/>
            <w:shd w:val="clear" w:color="auto" w:fill="F2F2F2" w:themeFill="background1" w:themeFillShade="F2"/>
          </w:tcPr>
          <w:p w14:paraId="3B6E015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89.82±56.64</w:t>
            </w:r>
          </w:p>
        </w:tc>
        <w:tc>
          <w:tcPr>
            <w:tcW w:w="1945" w:type="dxa"/>
            <w:shd w:val="clear" w:color="auto" w:fill="F2F2F2" w:themeFill="background1" w:themeFillShade="F2"/>
          </w:tcPr>
          <w:p w14:paraId="0635F78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17.90±1.77</w:t>
            </w:r>
          </w:p>
        </w:tc>
        <w:tc>
          <w:tcPr>
            <w:tcW w:w="1938" w:type="dxa"/>
            <w:shd w:val="clear" w:color="auto" w:fill="F2F2F2" w:themeFill="background1" w:themeFillShade="F2"/>
          </w:tcPr>
          <w:p w14:paraId="5F6644E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716ED8C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0-45</w:t>
            </w:r>
          </w:p>
        </w:tc>
      </w:tr>
      <w:tr w:rsidR="00502BB2" w14:paraId="674394AB"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4C7A37CF" w14:textId="77777777" w:rsidR="00502BB2" w:rsidRDefault="0069123E">
            <w:pPr>
              <w:spacing w:after="0" w:line="240" w:lineRule="auto"/>
              <w:rPr>
                <w:i w:val="0"/>
                <w:iCs w:val="0"/>
                <w:sz w:val="26"/>
              </w:rPr>
            </w:pPr>
            <w:r>
              <w:rPr>
                <w:sz w:val="26"/>
              </w:rPr>
              <w:t>CRP (mg/L)</w:t>
            </w:r>
          </w:p>
        </w:tc>
        <w:tc>
          <w:tcPr>
            <w:tcW w:w="1945" w:type="dxa"/>
          </w:tcPr>
          <w:p w14:paraId="07BBEA7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64.43±26.88</w:t>
            </w:r>
          </w:p>
        </w:tc>
        <w:tc>
          <w:tcPr>
            <w:tcW w:w="1945" w:type="dxa"/>
          </w:tcPr>
          <w:p w14:paraId="4F1E06F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50.96±16.88</w:t>
            </w:r>
          </w:p>
        </w:tc>
        <w:tc>
          <w:tcPr>
            <w:tcW w:w="1938" w:type="dxa"/>
          </w:tcPr>
          <w:p w14:paraId="4DFEB6C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Ns</w:t>
            </w:r>
          </w:p>
        </w:tc>
        <w:tc>
          <w:tcPr>
            <w:tcW w:w="1427" w:type="dxa"/>
          </w:tcPr>
          <w:p w14:paraId="3FB6EA3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&lt;6</w:t>
            </w:r>
          </w:p>
        </w:tc>
      </w:tr>
      <w:tr w:rsidR="00502BB2" w14:paraId="7D845B48"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26AB64C6" w14:textId="77777777" w:rsidR="00502BB2" w:rsidRDefault="0069123E">
            <w:pPr>
              <w:spacing w:after="0" w:line="240" w:lineRule="auto"/>
              <w:rPr>
                <w:i w:val="0"/>
                <w:iCs w:val="0"/>
                <w:sz w:val="26"/>
              </w:rPr>
            </w:pPr>
            <w:r>
              <w:rPr>
                <w:sz w:val="26"/>
              </w:rPr>
              <w:t>Urée (g/L)</w:t>
            </w:r>
          </w:p>
        </w:tc>
        <w:tc>
          <w:tcPr>
            <w:tcW w:w="1945" w:type="dxa"/>
            <w:shd w:val="clear" w:color="auto" w:fill="F2F2F2" w:themeFill="background1" w:themeFillShade="F2"/>
          </w:tcPr>
          <w:p w14:paraId="1845D50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0.948±0.218</w:t>
            </w:r>
          </w:p>
        </w:tc>
        <w:tc>
          <w:tcPr>
            <w:tcW w:w="1945" w:type="dxa"/>
            <w:shd w:val="clear" w:color="auto" w:fill="F2F2F2" w:themeFill="background1" w:themeFillShade="F2"/>
          </w:tcPr>
          <w:p w14:paraId="4A0B146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0.426±0.063</w:t>
            </w:r>
          </w:p>
        </w:tc>
        <w:tc>
          <w:tcPr>
            <w:tcW w:w="1938" w:type="dxa"/>
            <w:shd w:val="clear" w:color="auto" w:fill="F2F2F2" w:themeFill="background1" w:themeFillShade="F2"/>
          </w:tcPr>
          <w:p w14:paraId="2619EA71"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shd w:val="clear" w:color="auto" w:fill="F2F2F2" w:themeFill="background1" w:themeFillShade="F2"/>
          </w:tcPr>
          <w:p w14:paraId="4B43A7A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0.15-0.5</w:t>
            </w:r>
          </w:p>
        </w:tc>
      </w:tr>
      <w:tr w:rsidR="00502BB2" w14:paraId="1FF58B9F" w14:textId="77777777" w:rsidTr="00502BB2">
        <w:tc>
          <w:tcPr>
            <w:cnfStyle w:val="001000000000" w:firstRow="0" w:lastRow="0" w:firstColumn="1" w:lastColumn="0" w:oddVBand="0" w:evenVBand="0" w:oddHBand="0" w:evenHBand="0" w:firstRowFirstColumn="0" w:firstRowLastColumn="0" w:lastRowFirstColumn="0" w:lastRowLastColumn="0"/>
            <w:tcW w:w="2141" w:type="dxa"/>
          </w:tcPr>
          <w:p w14:paraId="59AEC547" w14:textId="77777777" w:rsidR="00502BB2" w:rsidRDefault="0069123E">
            <w:pPr>
              <w:spacing w:after="0" w:line="240" w:lineRule="auto"/>
              <w:rPr>
                <w:i w:val="0"/>
                <w:iCs w:val="0"/>
                <w:sz w:val="26"/>
              </w:rPr>
            </w:pPr>
            <w:r>
              <w:rPr>
                <w:sz w:val="26"/>
              </w:rPr>
              <w:t>Créatinine (mg/L)</w:t>
            </w:r>
          </w:p>
        </w:tc>
        <w:tc>
          <w:tcPr>
            <w:tcW w:w="1945" w:type="dxa"/>
          </w:tcPr>
          <w:p w14:paraId="20D312D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15.78±2.155</w:t>
            </w:r>
          </w:p>
        </w:tc>
        <w:tc>
          <w:tcPr>
            <w:tcW w:w="1945" w:type="dxa"/>
          </w:tcPr>
          <w:p w14:paraId="5C86274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9.510±0.648</w:t>
            </w:r>
          </w:p>
        </w:tc>
        <w:tc>
          <w:tcPr>
            <w:tcW w:w="1938" w:type="dxa"/>
          </w:tcPr>
          <w:p w14:paraId="219DCDF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1427" w:type="dxa"/>
          </w:tcPr>
          <w:p w14:paraId="3DF2A01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7-13</w:t>
            </w:r>
          </w:p>
        </w:tc>
      </w:tr>
    </w:tbl>
    <w:p w14:paraId="29FA1BBE" w14:textId="77777777" w:rsidR="00502BB2" w:rsidRDefault="00502BB2"/>
    <w:p w14:paraId="7B071EB6" w14:textId="1C123E8E" w:rsidR="00502BB2" w:rsidRDefault="0069123E">
      <w:pPr>
        <w:pStyle w:val="Caption"/>
        <w:keepNext/>
        <w:rPr>
          <w:rFonts w:asciiTheme="minorBidi" w:hAnsiTheme="minorBidi"/>
          <w:sz w:val="24"/>
          <w:szCs w:val="24"/>
        </w:rPr>
      </w:pPr>
      <w:bookmarkStart w:id="136" w:name="_Toc226577307"/>
      <w:r>
        <w:rPr>
          <w:rFonts w:asciiTheme="minorBidi" w:hAnsiTheme="minorBidi"/>
          <w:b/>
          <w:bCs/>
          <w:sz w:val="24"/>
          <w:szCs w:val="24"/>
        </w:rPr>
        <w:t xml:space="preserve">Tableau </w:t>
      </w:r>
      <w:r>
        <w:rPr>
          <w:rFonts w:asciiTheme="minorBidi" w:hAnsiTheme="minorBidi"/>
          <w:b/>
          <w:bCs/>
          <w:sz w:val="24"/>
          <w:szCs w:val="24"/>
        </w:rPr>
        <w:fldChar w:fldCharType="begin"/>
      </w:r>
      <w:r>
        <w:rPr>
          <w:rFonts w:asciiTheme="minorBidi" w:hAnsiTheme="minorBidi"/>
          <w:b/>
          <w:bCs/>
          <w:sz w:val="24"/>
          <w:szCs w:val="24"/>
        </w:rPr>
        <w:instrText xml:space="preserve"> SEQ Tableau \* ARABIC </w:instrText>
      </w:r>
      <w:r>
        <w:rPr>
          <w:rFonts w:asciiTheme="minorBidi" w:hAnsiTheme="minorBidi"/>
          <w:b/>
          <w:bCs/>
          <w:sz w:val="24"/>
          <w:szCs w:val="24"/>
        </w:rPr>
        <w:fldChar w:fldCharType="separate"/>
      </w:r>
      <w:r w:rsidR="003462B7">
        <w:rPr>
          <w:rFonts w:asciiTheme="minorBidi" w:hAnsiTheme="minorBidi"/>
          <w:b/>
          <w:bCs/>
          <w:noProof/>
          <w:sz w:val="24"/>
          <w:szCs w:val="24"/>
        </w:rPr>
        <w:t>12</w:t>
      </w:r>
      <w:r>
        <w:rPr>
          <w:rFonts w:asciiTheme="minorBidi" w:hAnsiTheme="minorBidi"/>
          <w:b/>
          <w:bCs/>
          <w:sz w:val="24"/>
          <w:szCs w:val="24"/>
        </w:rPr>
        <w:fldChar w:fldCharType="end"/>
      </w:r>
      <w:r>
        <w:rPr>
          <w:rFonts w:asciiTheme="minorBidi" w:hAnsiTheme="minorBidi"/>
          <w:b/>
          <w:bCs/>
          <w:sz w:val="24"/>
          <w:szCs w:val="24"/>
        </w:rPr>
        <w:t>:</w:t>
      </w:r>
      <w:r>
        <w:rPr>
          <w:rFonts w:asciiTheme="minorBidi" w:hAnsiTheme="minorBidi"/>
          <w:sz w:val="24"/>
          <w:szCs w:val="24"/>
        </w:rPr>
        <w:t xml:space="preserve"> Résumé des résultats du test de corrélation</w:t>
      </w:r>
      <w:bookmarkEnd w:id="136"/>
    </w:p>
    <w:tbl>
      <w:tblPr>
        <w:tblStyle w:val="PlainTable51"/>
        <w:tblW w:w="0" w:type="auto"/>
        <w:tblLook w:val="04A0" w:firstRow="1" w:lastRow="0" w:firstColumn="1" w:lastColumn="0" w:noHBand="0" w:noVBand="1"/>
      </w:tblPr>
      <w:tblGrid>
        <w:gridCol w:w="3362"/>
        <w:gridCol w:w="3098"/>
        <w:gridCol w:w="2936"/>
      </w:tblGrid>
      <w:tr w:rsidR="00502BB2" w14:paraId="3B8389A0" w14:textId="77777777" w:rsidTr="00502BB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362" w:type="dxa"/>
          </w:tcPr>
          <w:p w14:paraId="5B323263" w14:textId="77777777" w:rsidR="00502BB2" w:rsidRDefault="0069123E">
            <w:pPr>
              <w:spacing w:after="0" w:line="240" w:lineRule="auto"/>
              <w:rPr>
                <w:i w:val="0"/>
                <w:iCs w:val="0"/>
                <w:sz w:val="26"/>
              </w:rPr>
            </w:pPr>
            <w:r>
              <w:rPr>
                <w:sz w:val="26"/>
              </w:rPr>
              <w:t>Paramètres</w:t>
            </w:r>
          </w:p>
        </w:tc>
        <w:tc>
          <w:tcPr>
            <w:tcW w:w="3098" w:type="dxa"/>
          </w:tcPr>
          <w:p w14:paraId="2FC3ECFD" w14:textId="77777777" w:rsidR="00502BB2" w:rsidRDefault="0069123E">
            <w:pPr>
              <w:spacing w:after="0" w:line="240" w:lineRule="auto"/>
              <w:cnfStyle w:val="100000000000" w:firstRow="1" w:lastRow="0" w:firstColumn="0" w:lastColumn="0" w:oddVBand="0" w:evenVBand="0" w:oddHBand="0" w:evenHBand="0" w:firstRowFirstColumn="0" w:firstRowLastColumn="0" w:lastRowFirstColumn="0" w:lastRowLastColumn="0"/>
              <w:rPr>
                <w:i w:val="0"/>
                <w:iCs w:val="0"/>
                <w:sz w:val="26"/>
              </w:rPr>
            </w:pPr>
            <w:r>
              <w:rPr>
                <w:sz w:val="26"/>
              </w:rPr>
              <w:t>R</w:t>
            </w:r>
          </w:p>
        </w:tc>
        <w:tc>
          <w:tcPr>
            <w:tcW w:w="2936" w:type="dxa"/>
          </w:tcPr>
          <w:p w14:paraId="0A676467" w14:textId="77777777" w:rsidR="00502BB2" w:rsidRDefault="0069123E">
            <w:pPr>
              <w:spacing w:after="0" w:line="240" w:lineRule="auto"/>
              <w:cnfStyle w:val="100000000000" w:firstRow="1" w:lastRow="0" w:firstColumn="0" w:lastColumn="0" w:oddVBand="0" w:evenVBand="0" w:oddHBand="0" w:evenHBand="0" w:firstRowFirstColumn="0" w:firstRowLastColumn="0" w:lastRowFirstColumn="0" w:lastRowLastColumn="0"/>
              <w:rPr>
                <w:i w:val="0"/>
                <w:iCs w:val="0"/>
                <w:sz w:val="26"/>
              </w:rPr>
            </w:pPr>
            <w:r>
              <w:rPr>
                <w:sz w:val="26"/>
              </w:rPr>
              <w:t>Corrélation</w:t>
            </w:r>
          </w:p>
        </w:tc>
      </w:tr>
      <w:tr w:rsidR="00502BB2" w14:paraId="5BB0D50D"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4043A088" w14:textId="77777777" w:rsidR="00502BB2" w:rsidRDefault="0069123E">
            <w:pPr>
              <w:spacing w:after="0" w:line="240" w:lineRule="auto"/>
              <w:rPr>
                <w:i w:val="0"/>
                <w:iCs w:val="0"/>
                <w:sz w:val="26"/>
              </w:rPr>
            </w:pPr>
            <w:r>
              <w:rPr>
                <w:sz w:val="26"/>
              </w:rPr>
              <w:t>GSC/anion gap</w:t>
            </w:r>
          </w:p>
        </w:tc>
        <w:tc>
          <w:tcPr>
            <w:tcW w:w="3098" w:type="dxa"/>
            <w:shd w:val="clear" w:color="auto" w:fill="F2F2F2" w:themeFill="background1" w:themeFillShade="F2"/>
          </w:tcPr>
          <w:p w14:paraId="7D726056"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0.82</w:t>
            </w:r>
          </w:p>
        </w:tc>
        <w:tc>
          <w:tcPr>
            <w:tcW w:w="2936" w:type="dxa"/>
            <w:shd w:val="clear" w:color="auto" w:fill="F2F2F2" w:themeFill="background1" w:themeFillShade="F2"/>
          </w:tcPr>
          <w:p w14:paraId="27E6C8C4"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30A0DAA4"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29EA495D" w14:textId="77777777" w:rsidR="00502BB2" w:rsidRDefault="0069123E">
            <w:pPr>
              <w:spacing w:after="0" w:line="240" w:lineRule="auto"/>
              <w:rPr>
                <w:i w:val="0"/>
                <w:iCs w:val="0"/>
                <w:sz w:val="26"/>
              </w:rPr>
            </w:pPr>
            <w:r>
              <w:rPr>
                <w:sz w:val="26"/>
              </w:rPr>
              <w:t>GSC/osmolarité</w:t>
            </w:r>
          </w:p>
        </w:tc>
        <w:tc>
          <w:tcPr>
            <w:tcW w:w="3098" w:type="dxa"/>
          </w:tcPr>
          <w:p w14:paraId="1C0D2F0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0.69</w:t>
            </w:r>
          </w:p>
        </w:tc>
        <w:tc>
          <w:tcPr>
            <w:tcW w:w="2936" w:type="dxa"/>
          </w:tcPr>
          <w:p w14:paraId="40D1185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2DECF4B1"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25F08F29" w14:textId="77777777" w:rsidR="00502BB2" w:rsidRDefault="0069123E">
            <w:pPr>
              <w:spacing w:after="0" w:line="240" w:lineRule="auto"/>
              <w:rPr>
                <w:i w:val="0"/>
                <w:iCs w:val="0"/>
                <w:sz w:val="26"/>
              </w:rPr>
            </w:pPr>
            <w:r>
              <w:rPr>
                <w:sz w:val="26"/>
              </w:rPr>
              <w:t>GSC/lactate</w:t>
            </w:r>
          </w:p>
        </w:tc>
        <w:tc>
          <w:tcPr>
            <w:tcW w:w="3098" w:type="dxa"/>
            <w:shd w:val="clear" w:color="auto" w:fill="F2F2F2" w:themeFill="background1" w:themeFillShade="F2"/>
          </w:tcPr>
          <w:p w14:paraId="18B0D99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0.18</w:t>
            </w:r>
          </w:p>
        </w:tc>
        <w:tc>
          <w:tcPr>
            <w:tcW w:w="2936" w:type="dxa"/>
            <w:shd w:val="clear" w:color="auto" w:fill="F2F2F2" w:themeFill="background1" w:themeFillShade="F2"/>
          </w:tcPr>
          <w:p w14:paraId="5398F49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701891BD"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7673F2FA" w14:textId="77777777" w:rsidR="00502BB2" w:rsidRDefault="0069123E">
            <w:pPr>
              <w:spacing w:after="0" w:line="240" w:lineRule="auto"/>
              <w:rPr>
                <w:i w:val="0"/>
                <w:iCs w:val="0"/>
                <w:sz w:val="26"/>
              </w:rPr>
            </w:pPr>
            <w:r>
              <w:rPr>
                <w:sz w:val="26"/>
              </w:rPr>
              <w:t>GSC/HCO3-</w:t>
            </w:r>
          </w:p>
        </w:tc>
        <w:tc>
          <w:tcPr>
            <w:tcW w:w="3098" w:type="dxa"/>
          </w:tcPr>
          <w:p w14:paraId="593D685D"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w:t>
            </w:r>
          </w:p>
        </w:tc>
        <w:tc>
          <w:tcPr>
            <w:tcW w:w="2936" w:type="dxa"/>
          </w:tcPr>
          <w:p w14:paraId="23D9A841"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46657DB6"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799BEE7A" w14:textId="77777777" w:rsidR="00502BB2" w:rsidRDefault="0069123E">
            <w:pPr>
              <w:spacing w:after="0" w:line="240" w:lineRule="auto"/>
              <w:rPr>
                <w:i w:val="0"/>
                <w:iCs w:val="0"/>
                <w:sz w:val="26"/>
              </w:rPr>
            </w:pPr>
            <w:r>
              <w:rPr>
                <w:sz w:val="26"/>
              </w:rPr>
              <w:t>GSC/pH</w:t>
            </w:r>
          </w:p>
        </w:tc>
        <w:tc>
          <w:tcPr>
            <w:tcW w:w="3098" w:type="dxa"/>
            <w:shd w:val="clear" w:color="auto" w:fill="F2F2F2" w:themeFill="background1" w:themeFillShade="F2"/>
          </w:tcPr>
          <w:p w14:paraId="6E18B108"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2936" w:type="dxa"/>
            <w:shd w:val="clear" w:color="auto" w:fill="F2F2F2" w:themeFill="background1" w:themeFillShade="F2"/>
          </w:tcPr>
          <w:p w14:paraId="444C83B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0F1881CF"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3E94897B" w14:textId="77777777" w:rsidR="00502BB2" w:rsidRDefault="0069123E">
            <w:pPr>
              <w:spacing w:after="0" w:line="240" w:lineRule="auto"/>
              <w:rPr>
                <w:i w:val="0"/>
                <w:iCs w:val="0"/>
                <w:sz w:val="26"/>
              </w:rPr>
            </w:pPr>
            <w:r>
              <w:rPr>
                <w:sz w:val="26"/>
              </w:rPr>
              <w:t>GSC/diurèse</w:t>
            </w:r>
          </w:p>
        </w:tc>
        <w:tc>
          <w:tcPr>
            <w:tcW w:w="3098" w:type="dxa"/>
          </w:tcPr>
          <w:p w14:paraId="636B0FC5"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0.89</w:t>
            </w:r>
          </w:p>
        </w:tc>
        <w:tc>
          <w:tcPr>
            <w:tcW w:w="2936" w:type="dxa"/>
          </w:tcPr>
          <w:p w14:paraId="1D48DB79"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1750BEF8"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3A38954D" w14:textId="77777777" w:rsidR="00502BB2" w:rsidRDefault="0069123E">
            <w:pPr>
              <w:spacing w:after="0" w:line="240" w:lineRule="auto"/>
              <w:rPr>
                <w:i w:val="0"/>
                <w:iCs w:val="0"/>
                <w:sz w:val="26"/>
              </w:rPr>
            </w:pPr>
            <w:r>
              <w:rPr>
                <w:sz w:val="26"/>
              </w:rPr>
              <w:t>GSC/PCO2</w:t>
            </w:r>
          </w:p>
        </w:tc>
        <w:tc>
          <w:tcPr>
            <w:tcW w:w="3098" w:type="dxa"/>
            <w:shd w:val="clear" w:color="auto" w:fill="F2F2F2" w:themeFill="background1" w:themeFillShade="F2"/>
          </w:tcPr>
          <w:p w14:paraId="27C4802B"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w:t>
            </w:r>
          </w:p>
        </w:tc>
        <w:tc>
          <w:tcPr>
            <w:tcW w:w="2936" w:type="dxa"/>
            <w:shd w:val="clear" w:color="auto" w:fill="F2F2F2" w:themeFill="background1" w:themeFillShade="F2"/>
          </w:tcPr>
          <w:p w14:paraId="3875B941"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2AF676FC"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0FBAE718" w14:textId="77777777" w:rsidR="00502BB2" w:rsidRDefault="0069123E">
            <w:pPr>
              <w:spacing w:after="0" w:line="240" w:lineRule="auto"/>
              <w:rPr>
                <w:i w:val="0"/>
                <w:iCs w:val="0"/>
                <w:sz w:val="26"/>
              </w:rPr>
            </w:pPr>
            <w:r>
              <w:rPr>
                <w:sz w:val="26"/>
              </w:rPr>
              <w:t>GSC/Cl-</w:t>
            </w:r>
          </w:p>
        </w:tc>
        <w:tc>
          <w:tcPr>
            <w:tcW w:w="3098" w:type="dxa"/>
          </w:tcPr>
          <w:p w14:paraId="104043A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2936" w:type="dxa"/>
          </w:tcPr>
          <w:p w14:paraId="0C6F755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435FA5C5"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4C3F613C" w14:textId="77777777" w:rsidR="00502BB2" w:rsidRDefault="0069123E">
            <w:pPr>
              <w:spacing w:after="0" w:line="240" w:lineRule="auto"/>
              <w:rPr>
                <w:i w:val="0"/>
                <w:iCs w:val="0"/>
                <w:sz w:val="26"/>
              </w:rPr>
            </w:pPr>
            <w:r>
              <w:rPr>
                <w:sz w:val="26"/>
              </w:rPr>
              <w:t>GSC/K+</w:t>
            </w:r>
          </w:p>
        </w:tc>
        <w:tc>
          <w:tcPr>
            <w:tcW w:w="3098" w:type="dxa"/>
            <w:shd w:val="clear" w:color="auto" w:fill="F2F2F2" w:themeFill="background1" w:themeFillShade="F2"/>
          </w:tcPr>
          <w:p w14:paraId="368223C6"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2936" w:type="dxa"/>
            <w:shd w:val="clear" w:color="auto" w:fill="F2F2F2" w:themeFill="background1" w:themeFillShade="F2"/>
          </w:tcPr>
          <w:p w14:paraId="39A328C3"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6A5A1B5D"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476743BE" w14:textId="77777777" w:rsidR="00502BB2" w:rsidRDefault="0069123E">
            <w:pPr>
              <w:spacing w:after="0" w:line="240" w:lineRule="auto"/>
              <w:rPr>
                <w:i w:val="0"/>
                <w:iCs w:val="0"/>
                <w:sz w:val="26"/>
              </w:rPr>
            </w:pPr>
            <w:r>
              <w:rPr>
                <w:sz w:val="26"/>
              </w:rPr>
              <w:t>GSC/Na+</w:t>
            </w:r>
          </w:p>
        </w:tc>
        <w:tc>
          <w:tcPr>
            <w:tcW w:w="3098" w:type="dxa"/>
          </w:tcPr>
          <w:p w14:paraId="5F9EAD4F"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0.76</w:t>
            </w:r>
          </w:p>
        </w:tc>
        <w:tc>
          <w:tcPr>
            <w:tcW w:w="2936" w:type="dxa"/>
          </w:tcPr>
          <w:p w14:paraId="656B8F02"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65E0B5EE"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1DD89E3F" w14:textId="77777777" w:rsidR="00502BB2" w:rsidRDefault="0069123E">
            <w:pPr>
              <w:spacing w:after="0" w:line="240" w:lineRule="auto"/>
              <w:rPr>
                <w:i w:val="0"/>
                <w:iCs w:val="0"/>
                <w:sz w:val="26"/>
              </w:rPr>
            </w:pPr>
            <w:r>
              <w:rPr>
                <w:sz w:val="26"/>
              </w:rPr>
              <w:t>GSC/cétonurie</w:t>
            </w:r>
          </w:p>
        </w:tc>
        <w:tc>
          <w:tcPr>
            <w:tcW w:w="3098" w:type="dxa"/>
            <w:shd w:val="clear" w:color="auto" w:fill="F2F2F2" w:themeFill="background1" w:themeFillShade="F2"/>
          </w:tcPr>
          <w:p w14:paraId="1A3B9A1A"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c>
          <w:tcPr>
            <w:tcW w:w="2936" w:type="dxa"/>
            <w:shd w:val="clear" w:color="auto" w:fill="F2F2F2" w:themeFill="background1" w:themeFillShade="F2"/>
          </w:tcPr>
          <w:p w14:paraId="7B93884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r w:rsidR="00502BB2" w14:paraId="14B7CBB6" w14:textId="77777777" w:rsidTr="00502BB2">
        <w:tc>
          <w:tcPr>
            <w:cnfStyle w:val="001000000000" w:firstRow="0" w:lastRow="0" w:firstColumn="1" w:lastColumn="0" w:oddVBand="0" w:evenVBand="0" w:oddHBand="0" w:evenHBand="0" w:firstRowFirstColumn="0" w:firstRowLastColumn="0" w:lastRowFirstColumn="0" w:lastRowLastColumn="0"/>
            <w:tcW w:w="3362" w:type="dxa"/>
          </w:tcPr>
          <w:p w14:paraId="78B06212" w14:textId="77777777" w:rsidR="00502BB2" w:rsidRDefault="0069123E">
            <w:pPr>
              <w:spacing w:after="0" w:line="240" w:lineRule="auto"/>
              <w:rPr>
                <w:i w:val="0"/>
                <w:iCs w:val="0"/>
                <w:sz w:val="26"/>
              </w:rPr>
            </w:pPr>
            <w:r>
              <w:rPr>
                <w:sz w:val="26"/>
              </w:rPr>
              <w:t>GSC/glycémie</w:t>
            </w:r>
          </w:p>
        </w:tc>
        <w:tc>
          <w:tcPr>
            <w:tcW w:w="3098" w:type="dxa"/>
          </w:tcPr>
          <w:p w14:paraId="21AF3AFC"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0.14</w:t>
            </w:r>
          </w:p>
        </w:tc>
        <w:tc>
          <w:tcPr>
            <w:tcW w:w="2936" w:type="dxa"/>
          </w:tcPr>
          <w:p w14:paraId="5A76A57E" w14:textId="77777777" w:rsidR="00502BB2" w:rsidRDefault="0069123E">
            <w:pPr>
              <w:spacing w:after="0" w:line="240" w:lineRule="auto"/>
              <w:cnfStyle w:val="000000000000" w:firstRow="0" w:lastRow="0" w:firstColumn="0" w:lastColumn="0" w:oddVBand="0" w:evenVBand="0" w:oddHBand="0" w:evenHBand="0" w:firstRowFirstColumn="0" w:firstRowLastColumn="0" w:lastRowFirstColumn="0" w:lastRowLastColumn="0"/>
            </w:pPr>
            <w:r>
              <w:t>+</w:t>
            </w:r>
          </w:p>
        </w:tc>
      </w:tr>
    </w:tbl>
    <w:p w14:paraId="6A0EBF09" w14:textId="77777777" w:rsidR="00502BB2" w:rsidRDefault="00502BB2"/>
    <w:sectPr w:rsidR="00502BB2">
      <w:headerReference w:type="default" r:id="rId171"/>
      <w:footerReference w:type="default" r:id="rId172"/>
      <w:pgSz w:w="12240" w:h="15840"/>
      <w:pgMar w:top="1417" w:right="1417" w:bottom="1417"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102E9" w14:textId="77777777" w:rsidR="0069123E" w:rsidRDefault="0069123E">
      <w:pPr>
        <w:spacing w:line="240" w:lineRule="auto"/>
      </w:pPr>
      <w:r>
        <w:separator/>
      </w:r>
    </w:p>
  </w:endnote>
  <w:endnote w:type="continuationSeparator" w:id="0">
    <w:p w14:paraId="050611C4" w14:textId="77777777" w:rsidR="0069123E" w:rsidRDefault="006912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Tw Cen MT">
    <w:panose1 w:val="020B0602020104020603"/>
    <w:charset w:val="00"/>
    <w:family w:val="swiss"/>
    <w:pitch w:val="variable"/>
    <w:sig w:usb0="00000007" w:usb1="00000000" w:usb2="00000000" w:usb3="00000000" w:csb0="00000003" w:csb1="00000000"/>
  </w:font>
  <w:font w:name="Freestyle Script">
    <w:panose1 w:val="030804020302050B0404"/>
    <w:charset w:val="00"/>
    <w:family w:val="script"/>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egoe Fluent Icons">
    <w:panose1 w:val="050A0102010101010101"/>
    <w:charset w:val="00"/>
    <w:family w:val="roman"/>
    <w:pitch w:val="variable"/>
    <w:sig w:usb0="00000003" w:usb1="1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33522" w14:textId="77777777" w:rsidR="00502BB2" w:rsidRDefault="0069123E">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color w:val="156082" w:themeColor="accent1"/>
        <w:sz w:val="20"/>
        <w:szCs w:val="20"/>
      </w:rPr>
      <w:t>1</w:t>
    </w:r>
    <w:r>
      <w:rPr>
        <w:color w:val="156082" w:themeColor="accent1"/>
        <w:sz w:val="20"/>
        <w:szCs w:val="20"/>
      </w:rPr>
      <w:fldChar w:fldCharType="end"/>
    </w:r>
  </w:p>
  <w:p w14:paraId="5D2A48C5" w14:textId="77777777" w:rsidR="00502BB2" w:rsidRDefault="00502BB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31AF9" w14:textId="77777777" w:rsidR="00502BB2" w:rsidRDefault="00502BB2">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1D404" w14:textId="77777777" w:rsidR="00502BB2" w:rsidRDefault="0069123E">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color w:val="156082" w:themeColor="accent1"/>
        <w:sz w:val="20"/>
        <w:szCs w:val="20"/>
      </w:rPr>
      <w:t>1</w:t>
    </w:r>
    <w:r>
      <w:rPr>
        <w:color w:val="156082" w:themeColor="accent1"/>
        <w:sz w:val="20"/>
        <w:szCs w:val="20"/>
      </w:rPr>
      <w:fldChar w:fldCharType="end"/>
    </w:r>
  </w:p>
  <w:p w14:paraId="123F7486" w14:textId="77777777" w:rsidR="00502BB2" w:rsidRDefault="00502BB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4BF47" w14:textId="77777777" w:rsidR="00502BB2" w:rsidRDefault="00502BB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1DC25" w14:textId="77777777" w:rsidR="00502BB2" w:rsidRDefault="0069123E">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color w:val="156082" w:themeColor="accent1"/>
        <w:sz w:val="20"/>
        <w:szCs w:val="20"/>
      </w:rPr>
      <w:t>1</w:t>
    </w:r>
    <w:r>
      <w:rPr>
        <w:color w:val="156082" w:themeColor="accent1"/>
        <w:sz w:val="20"/>
        <w:szCs w:val="20"/>
      </w:rPr>
      <w:fldChar w:fldCharType="end"/>
    </w:r>
  </w:p>
  <w:p w14:paraId="62A76E93" w14:textId="77777777" w:rsidR="00502BB2" w:rsidRDefault="00502BB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342A" w14:textId="77777777" w:rsidR="00502BB2" w:rsidRDefault="00502BB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3F780" w14:textId="77777777" w:rsidR="00502BB2" w:rsidRDefault="0069123E">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color w:val="156082" w:themeColor="accent1"/>
        <w:sz w:val="20"/>
        <w:szCs w:val="20"/>
      </w:rPr>
      <w:t>1</w:t>
    </w:r>
    <w:r>
      <w:rPr>
        <w:color w:val="156082" w:themeColor="accent1"/>
        <w:sz w:val="20"/>
        <w:szCs w:val="20"/>
      </w:rPr>
      <w:fldChar w:fldCharType="end"/>
    </w:r>
  </w:p>
  <w:p w14:paraId="239ADE51" w14:textId="77777777" w:rsidR="00502BB2" w:rsidRDefault="00502BB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0F6C5" w14:textId="77777777" w:rsidR="00502BB2" w:rsidRDefault="00502BB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DA47" w14:textId="77777777" w:rsidR="00502BB2" w:rsidRDefault="0069123E">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color w:val="156082" w:themeColor="accent1"/>
        <w:sz w:val="20"/>
        <w:szCs w:val="20"/>
      </w:rPr>
      <w:t>1</w:t>
    </w:r>
    <w:r>
      <w:rPr>
        <w:color w:val="156082" w:themeColor="accent1"/>
        <w:sz w:val="20"/>
        <w:szCs w:val="20"/>
      </w:rPr>
      <w:fldChar w:fldCharType="end"/>
    </w:r>
  </w:p>
  <w:p w14:paraId="3F1CCF1A" w14:textId="77777777" w:rsidR="00502BB2" w:rsidRDefault="00502BB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B36F0" w14:textId="77777777" w:rsidR="00502BB2" w:rsidRDefault="00502BB2">
    <w:pPr>
      <w:pStyle w:val="Footer"/>
      <w:jc w:val="right"/>
    </w:pPr>
  </w:p>
  <w:p w14:paraId="25C74AB0" w14:textId="77777777" w:rsidR="00502BB2" w:rsidRDefault="00502BB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9BE73" w14:textId="77777777" w:rsidR="00502BB2" w:rsidRDefault="0069123E">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color w:val="156082" w:themeColor="accent1"/>
        <w:sz w:val="20"/>
        <w:szCs w:val="20"/>
      </w:rPr>
      <w:t>1</w:t>
    </w:r>
    <w:r>
      <w:rPr>
        <w:color w:val="156082" w:themeColor="accent1"/>
        <w:sz w:val="20"/>
        <w:szCs w:val="20"/>
      </w:rPr>
      <w:fldChar w:fldCharType="end"/>
    </w:r>
  </w:p>
  <w:p w14:paraId="608C2102" w14:textId="77777777" w:rsidR="00502BB2" w:rsidRDefault="00502BB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2DF21" w14:textId="77777777" w:rsidR="00502BB2" w:rsidRDefault="00502BB2">
    <w:pPr>
      <w:pStyle w:val="Footer"/>
      <w:jc w:val="right"/>
    </w:pPr>
  </w:p>
  <w:p w14:paraId="51C6C96F" w14:textId="77777777" w:rsidR="00502BB2" w:rsidRDefault="00502BB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76FD3" w14:textId="77777777" w:rsidR="00502BB2" w:rsidRDefault="00502BB2">
    <w:pPr>
      <w:pStyle w:val="Footer"/>
      <w:jc w:val="right"/>
    </w:pPr>
  </w:p>
  <w:p w14:paraId="2AA9EE56" w14:textId="77777777" w:rsidR="00502BB2" w:rsidRDefault="00502BB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A5526" w14:textId="77777777" w:rsidR="00502BB2" w:rsidRDefault="0069123E">
    <w:pPr>
      <w:pStyle w:val="Footer"/>
      <w:jc w:val="right"/>
    </w:pPr>
    <w:r>
      <w:rPr>
        <w:color w:val="156082" w:themeColor="accent1"/>
        <w:sz w:val="20"/>
        <w:szCs w:val="20"/>
      </w:rPr>
      <w:t xml:space="preserve">pg. </w:t>
    </w:r>
    <w:r>
      <w:rPr>
        <w:color w:val="156082" w:themeColor="accent1"/>
        <w:sz w:val="20"/>
        <w:szCs w:val="20"/>
      </w:rPr>
      <w:fldChar w:fldCharType="begin"/>
    </w:r>
    <w:r>
      <w:rPr>
        <w:color w:val="156082" w:themeColor="accent1"/>
        <w:sz w:val="20"/>
        <w:szCs w:val="20"/>
      </w:rPr>
      <w:instrText xml:space="preserve"> PAGE  \* Arabic </w:instrText>
    </w:r>
    <w:r>
      <w:rPr>
        <w:color w:val="156082" w:themeColor="accent1"/>
        <w:sz w:val="20"/>
        <w:szCs w:val="20"/>
      </w:rPr>
      <w:fldChar w:fldCharType="separate"/>
    </w:r>
    <w:r>
      <w:rPr>
        <w:color w:val="156082" w:themeColor="accent1"/>
        <w:sz w:val="20"/>
        <w:szCs w:val="20"/>
      </w:rPr>
      <w:t>1</w:t>
    </w:r>
    <w:r>
      <w:rPr>
        <w:color w:val="156082" w:themeColor="accent1"/>
        <w:sz w:val="20"/>
        <w:szCs w:val="20"/>
      </w:rPr>
      <w:fldChar w:fldCharType="end"/>
    </w:r>
  </w:p>
  <w:p w14:paraId="5D616826" w14:textId="77777777" w:rsidR="00502BB2" w:rsidRDefault="00502B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4BA49E" w14:textId="77777777" w:rsidR="0069123E" w:rsidRDefault="0069123E">
      <w:pPr>
        <w:spacing w:after="0"/>
      </w:pPr>
      <w:r>
        <w:separator/>
      </w:r>
    </w:p>
  </w:footnote>
  <w:footnote w:type="continuationSeparator" w:id="0">
    <w:p w14:paraId="587A2FD4" w14:textId="77777777" w:rsidR="0069123E" w:rsidRDefault="0069123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FAB5F" w14:textId="03312A9D" w:rsidR="00DC455F" w:rsidRDefault="00DC455F">
    <w:pPr>
      <w:pStyle w:val="Header"/>
    </w:pPr>
    <w:r>
      <w:rPr>
        <w:noProof/>
        <w:color w:val="156082" w:themeColor="accent1"/>
      </w:rPr>
      <mc:AlternateContent>
        <mc:Choice Requires="wps">
          <w:drawing>
            <wp:anchor distT="0" distB="0" distL="118745" distR="118745" simplePos="0" relativeHeight="251672576" behindDoc="1" locked="0" layoutInCell="1" allowOverlap="0" wp14:anchorId="103C7505" wp14:editId="7A620C32">
              <wp:simplePos x="0" y="0"/>
              <wp:positionH relativeFrom="margin">
                <wp:posOffset>-991235</wp:posOffset>
              </wp:positionH>
              <wp:positionV relativeFrom="topMargin">
                <wp:posOffset>537210</wp:posOffset>
              </wp:positionV>
              <wp:extent cx="7600950" cy="445770"/>
              <wp:effectExtent l="0" t="0" r="19050" b="11430"/>
              <wp:wrapSquare wrapText="bothSides"/>
              <wp:docPr id="2014829370" name="Rectangle 200"/>
              <wp:cNvGraphicFramePr/>
              <a:graphic xmlns:a="http://schemas.openxmlformats.org/drawingml/2006/main">
                <a:graphicData uri="http://schemas.microsoft.com/office/word/2010/wordprocessingShape">
                  <wps:wsp>
                    <wps:cNvSpPr/>
                    <wps:spPr>
                      <a:xfrm>
                        <a:off x="0" y="0"/>
                        <a:ext cx="7600950" cy="445770"/>
                      </a:xfrm>
                      <a:prstGeom prst="rect">
                        <a:avLst/>
                      </a:prstGeom>
                      <a:ln>
                        <a:solidFill>
                          <a:schemeClr val="bg2">
                            <a:lumMod val="90000"/>
                          </a:schemeClr>
                        </a:solidFill>
                      </a:ln>
                    </wps:spPr>
                    <wps:style>
                      <a:lnRef idx="2">
                        <a:schemeClr val="accent1">
                          <a:shade val="50000"/>
                        </a:schemeClr>
                      </a:lnRef>
                      <a:fillRef idx="1003">
                        <a:schemeClr val="lt2"/>
                      </a:fillRef>
                      <a:effectRef idx="0">
                        <a:schemeClr val="accent1"/>
                      </a:effectRef>
                      <a:fontRef idx="minor">
                        <a:schemeClr val="lt1"/>
                      </a:fontRef>
                    </wps:style>
                    <wps:txbx>
                      <w:txbxContent>
                        <w:sdt>
                          <w:sdtPr>
                            <w:rPr>
                              <w:rFonts w:ascii="Segoe Print" w:hAnsi="Segoe Print"/>
                              <w:b/>
                              <w:bCs/>
                              <w:i/>
                              <w:iCs/>
                              <w:caps/>
                              <w:color w:val="262626" w:themeColor="text1" w:themeTint="D9"/>
                              <w:sz w:val="32"/>
                              <w:szCs w:val="32"/>
                            </w:rPr>
                            <w:alias w:val="Title"/>
                            <w:id w:val="-844934050"/>
                            <w:dataBinding w:prefixMappings="xmlns:ns0='http://purl.org/dc/elements/1.1/' xmlns:ns1='http://schemas.openxmlformats.org/package/2006/metadata/core-properties' " w:xpath="/ns1:coreProperties[1]/ns0:title[1]" w:storeItemID="{6C3C8BC8-F283-45AE-878A-BAB7291924A1}"/>
                            <w:text/>
                          </w:sdtPr>
                          <w:sdtContent>
                            <w:p w14:paraId="7D1DC3DD" w14:textId="6A8DF33E" w:rsidR="00DC455F" w:rsidRDefault="00DC455F" w:rsidP="00DC455F">
                              <w:pPr>
                                <w:pStyle w:val="Header"/>
                                <w:jc w:val="right"/>
                                <w:rPr>
                                  <w:rFonts w:ascii="Segoe Print" w:hAnsi="Segoe Print"/>
                                  <w:caps/>
                                  <w:color w:val="262626" w:themeColor="text1" w:themeTint="D9"/>
                                </w:rPr>
                              </w:pPr>
                              <w:r>
                                <w:rPr>
                                  <w:rFonts w:ascii="Segoe Print" w:hAnsi="Segoe Print"/>
                                  <w:b/>
                                  <w:bCs/>
                                  <w:i/>
                                  <w:iCs/>
                                  <w:caps/>
                                  <w:color w:val="262626" w:themeColor="text1" w:themeTint="D9"/>
                                  <w:sz w:val="32"/>
                                  <w:szCs w:val="32"/>
                                </w:rPr>
                                <w:t>INTRODUCTION</w:t>
                              </w:r>
                            </w:p>
                          </w:sdtContent>
                        </w:sdt>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03C7505" id="Rectangle 200" o:spid="_x0000_s1059" style="position:absolute;margin-left:-78.05pt;margin-top:42.3pt;width:598.5pt;height:35.1pt;z-index:-251643904;visibility:visible;mso-wrap-style:square;mso-wrap-distance-left:9.35pt;mso-wrap-distance-top:0;mso-wrap-distance-right:9.35pt;mso-wrap-distance-bottom:0;mso-position-horizontal:absolute;mso-position-horizontal-relative:margin;mso-position-vertical:absolute;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oiydwIAAEcFAAAOAAAAZHJzL2Uyb0RvYy54bWysVFFvEzEMfkfiP0R5Z3ct3caqXaeqUxHS&#10;YBUD8Zzmkl6kJA5J2mv59ThJex0wXhD3kLNj+3P8xfHt3d5oshM+KLANHV3UlAjLoVV209CvX5Zv&#10;3lESIrMt02BFQw8i0LvZ61e3vZuKMXSgW+EJgtgw7V1DuxjdtKoC74Rh4QKcsGiU4A2LqPpN1XrW&#10;I7rR1biur6oefOs8cBEC7t4XI51lfCkFj49SBhGJbiieLebV53Wd1mp2y6Ybz1yn+PEY7B9OYZiy&#10;mHSAumeRka1Xf0AZxT0EkPGCg6lASsVFrgGrGdW/VfPUMSdyLUhOcANN4f/B8k+7J7fySEPvwjSg&#10;mKrYS2/SH89H9pmsw0CW2EfCcfP6qq5vLpFTjrbJ5PL6OrNZnaOdD/G9AEOS0FCPl5E5YruHEDEj&#10;up5cUjJt0xpAq3aptM5KagOx0J7sGF7gejPOAHprPkJb9m5q/NI1IlrumuRetDMS2hJ6da4xS/Gg&#10;Rcn8WUiiWqyqJBiASg7GubBxlHOHjrWibF/+NbW2CJiQJRYyYI/q+m3B+LUsHcfHAo7uKVLk5h1i&#10;65cCT+cq1Q8ROTHYOAQbZcG/BKCxqBIsi/+Jo8JMIinu13t0SeIa2sPKEw/lFQXHlwpv9oGFuGIe&#10;nw02A46C+IiL1NA3FI4SJR34Hy/tJ3/sZrRS0uMzbGj4vmVeUKI/WOzzm9Fkkt5tVrDJxqj455b1&#10;c4vdmgVgo4xw6DiexeQf9UmUHsw3nBjzlBVNzHLM3VAe/UlZxDIecOZwMZ9nN3yrjsUH++R4Ak8E&#10;W5hvI0iVG/nMzpFAfK25B4+TJY2D53r2Os+/2U8AAAD//wMAUEsDBBQABgAIAAAAIQAKjB9k4QAA&#10;AAwBAAAPAAAAZHJzL2Rvd25yZXYueG1sTI/BTsMwDIbvSLxDZCRuW1rUVKVrOiEk2AGBROGym9eE&#10;tlriVE3WlbcnO7GbLX/6/f3VdrGGzXrygyMJ6ToBpql1aqBOwvfXy6oA5gOSQuNIS/jVHrb17U2F&#10;pXJn+tRzEzoWQ8iXKKEPYSw5922vLfq1GzXF24+bLIa4Th1XE55juDX8IUlybnGg+KHHUT/3uj02&#10;JyvhfSfmYF7FiG8fvtkfdyKgEFLe3y1PG2BBL+Efhot+VIc6Oh3ciZRnRsIqFXkaWQlFlgO7EEmW&#10;PAI7xElkBfC64tcl6j8AAAD//wMAUEsBAi0AFAAGAAgAAAAhALaDOJL+AAAA4QEAABMAAAAAAAAA&#10;AAAAAAAAAAAAAFtDb250ZW50X1R5cGVzXS54bWxQSwECLQAUAAYACAAAACEAOP0h/9YAAACUAQAA&#10;CwAAAAAAAAAAAAAAAAAvAQAAX3JlbHMvLnJlbHNQSwECLQAUAAYACAAAACEAt+aIsncCAABHBQAA&#10;DgAAAAAAAAAAAAAAAAAuAgAAZHJzL2Uyb0RvYy54bWxQSwECLQAUAAYACAAAACEACowfZOEAAAAM&#10;AQAADwAAAAAAAAAAAAAAAADRBAAAZHJzL2Rvd25yZXYueG1sUEsFBgAAAAAEAAQA8wAAAN8FAAAA&#10;AA==&#10;" o:allowoverlap="f" fillcolor="#e9e9e9 [2995]" strokecolor="#d0d0d0 [2894]" strokeweight="1pt">
              <v:fill color2="#919191 [2019]" rotate="t" colors="0 #ececec;.5 #e5e5e5;1 #bdbdbd" focus="100%" type="gradient">
                <o:fill v:ext="view" type="gradientUnscaled"/>
              </v:fill>
              <v:textbox>
                <w:txbxContent>
                  <w:sdt>
                    <w:sdtPr>
                      <w:rPr>
                        <w:rFonts w:ascii="Segoe Print" w:hAnsi="Segoe Print"/>
                        <w:b/>
                        <w:bCs/>
                        <w:i/>
                        <w:iCs/>
                        <w:caps/>
                        <w:color w:val="262626" w:themeColor="text1" w:themeTint="D9"/>
                        <w:sz w:val="32"/>
                        <w:szCs w:val="32"/>
                      </w:rPr>
                      <w:alias w:val="Title"/>
                      <w:id w:val="-844934050"/>
                      <w:dataBinding w:prefixMappings="xmlns:ns0='http://purl.org/dc/elements/1.1/' xmlns:ns1='http://schemas.openxmlformats.org/package/2006/metadata/core-properties' " w:xpath="/ns1:coreProperties[1]/ns0:title[1]" w:storeItemID="{6C3C8BC8-F283-45AE-878A-BAB7291924A1}"/>
                      <w:text/>
                    </w:sdtPr>
                    <w:sdtContent>
                      <w:p w14:paraId="7D1DC3DD" w14:textId="6A8DF33E" w:rsidR="00DC455F" w:rsidRDefault="00DC455F" w:rsidP="00DC455F">
                        <w:pPr>
                          <w:pStyle w:val="Header"/>
                          <w:jc w:val="right"/>
                          <w:rPr>
                            <w:rFonts w:ascii="Segoe Print" w:hAnsi="Segoe Print"/>
                            <w:caps/>
                            <w:color w:val="262626" w:themeColor="text1" w:themeTint="D9"/>
                          </w:rPr>
                        </w:pPr>
                        <w:r>
                          <w:rPr>
                            <w:rFonts w:ascii="Segoe Print" w:hAnsi="Segoe Print"/>
                            <w:b/>
                            <w:bCs/>
                            <w:i/>
                            <w:iCs/>
                            <w:caps/>
                            <w:color w:val="262626" w:themeColor="text1" w:themeTint="D9"/>
                            <w:sz w:val="32"/>
                            <w:szCs w:val="32"/>
                          </w:rPr>
                          <w:t>INTRODUCTION</w:t>
                        </w:r>
                      </w:p>
                    </w:sdtContent>
                  </w:sdt>
                </w:txbxContent>
              </v:textbox>
              <w10:wrap type="square" anchorx="margin" anchory="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F42ACD" w14:textId="77777777" w:rsidR="00502BB2" w:rsidRDefault="0069123E">
    <w:pPr>
      <w:pStyle w:val="Header"/>
    </w:pPr>
    <w:r>
      <w:rPr>
        <w:noProof/>
        <w:color w:val="156082" w:themeColor="accent1"/>
      </w:rPr>
      <mc:AlternateContent>
        <mc:Choice Requires="wps">
          <w:drawing>
            <wp:anchor distT="0" distB="0" distL="118745" distR="118745" simplePos="0" relativeHeight="251660288" behindDoc="1" locked="0" layoutInCell="1" allowOverlap="0" wp14:anchorId="481176BB" wp14:editId="4549625C">
              <wp:simplePos x="0" y="0"/>
              <wp:positionH relativeFrom="margin">
                <wp:posOffset>-991235</wp:posOffset>
              </wp:positionH>
              <wp:positionV relativeFrom="topMargin">
                <wp:posOffset>537210</wp:posOffset>
              </wp:positionV>
              <wp:extent cx="7600950" cy="445770"/>
              <wp:effectExtent l="0" t="0" r="19050" b="11430"/>
              <wp:wrapSquare wrapText="bothSides"/>
              <wp:docPr id="197" name="Rectangle 200"/>
              <wp:cNvGraphicFramePr/>
              <a:graphic xmlns:a="http://schemas.openxmlformats.org/drawingml/2006/main">
                <a:graphicData uri="http://schemas.microsoft.com/office/word/2010/wordprocessingShape">
                  <wps:wsp>
                    <wps:cNvSpPr/>
                    <wps:spPr>
                      <a:xfrm>
                        <a:off x="0" y="0"/>
                        <a:ext cx="7600950" cy="445770"/>
                      </a:xfrm>
                      <a:prstGeom prst="rect">
                        <a:avLst/>
                      </a:prstGeom>
                      <a:ln>
                        <a:solidFill>
                          <a:schemeClr val="bg2">
                            <a:lumMod val="90000"/>
                          </a:schemeClr>
                        </a:solidFill>
                      </a:ln>
                    </wps:spPr>
                    <wps:style>
                      <a:lnRef idx="2">
                        <a:schemeClr val="accent1">
                          <a:shade val="50000"/>
                        </a:schemeClr>
                      </a:lnRef>
                      <a:fillRef idx="1003">
                        <a:schemeClr val="lt2"/>
                      </a:fillRef>
                      <a:effectRef idx="0">
                        <a:schemeClr val="accent1"/>
                      </a:effectRef>
                      <a:fontRef idx="minor">
                        <a:schemeClr val="lt1"/>
                      </a:fontRef>
                    </wps:style>
                    <wps:txbx>
                      <w:txbxContent>
                        <w:sdt>
                          <w:sdtPr>
                            <w:rPr>
                              <w:rFonts w:ascii="Segoe Print" w:hAnsi="Segoe Print"/>
                              <w:b/>
                              <w:bCs/>
                              <w:i/>
                              <w:iCs/>
                              <w:caps/>
                              <w:color w:val="262626" w:themeColor="text1" w:themeTint="D9"/>
                              <w:sz w:val="32"/>
                              <w:szCs w:val="32"/>
                            </w:rPr>
                            <w:alias w:val="Title"/>
                            <w:id w:val="1189017394"/>
                            <w:dataBinding w:prefixMappings="xmlns:ns0='http://purl.org/dc/elements/1.1/' xmlns:ns1='http://schemas.openxmlformats.org/package/2006/metadata/core-properties' " w:xpath="/ns1:coreProperties[1]/ns0:title[1]" w:storeItemID="{6C3C8BC8-F283-45AE-878A-BAB7291924A1}"/>
                            <w:text/>
                          </w:sdtPr>
                          <w:sdtEndPr/>
                          <w:sdtContent>
                            <w:p w14:paraId="67BEDE65" w14:textId="70627B87" w:rsidR="00502BB2" w:rsidRDefault="00DC455F">
                              <w:pPr>
                                <w:pStyle w:val="Header"/>
                                <w:jc w:val="right"/>
                                <w:rPr>
                                  <w:rFonts w:ascii="Segoe Print" w:hAnsi="Segoe Print"/>
                                  <w:caps/>
                                  <w:color w:val="262626" w:themeColor="text1" w:themeTint="D9"/>
                                </w:rPr>
                              </w:pPr>
                              <w:r>
                                <w:rPr>
                                  <w:rFonts w:ascii="Segoe Print" w:hAnsi="Segoe Print"/>
                                  <w:b/>
                                  <w:bCs/>
                                  <w:i/>
                                  <w:iCs/>
                                  <w:caps/>
                                  <w:color w:val="262626" w:themeColor="text1" w:themeTint="D9"/>
                                  <w:sz w:val="32"/>
                                  <w:szCs w:val="32"/>
                                </w:rPr>
                                <w:t>INTRODUCTION</w:t>
                              </w:r>
                            </w:p>
                          </w:sdtContent>
                        </w:sdt>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81176BB" id="_x0000_s1060" style="position:absolute;margin-left:-78.05pt;margin-top:42.3pt;width:598.5pt;height:35.1pt;z-index:-251656192;visibility:visible;mso-wrap-style:square;mso-wrap-distance-left:9.35pt;mso-wrap-distance-top:0;mso-wrap-distance-right:9.35pt;mso-wrap-distance-bottom:0;mso-position-horizontal:absolute;mso-position-horizontal-relative:margin;mso-position-vertical:absolute;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JCewIAAE4FAAAOAAAAZHJzL2Uyb0RvYy54bWysVFFvEzEMfkfiP0R5Z3ct3caqXaeqUxHS&#10;YBUD8Zzmkl6kJA5J2mv59ThJex0wXhD3kItj+3P8xfbt3d5oshM+KLANHV3UlAjLoVV209CvX5Zv&#10;3lESIrMt02BFQw8i0LvZ61e3vZuKMXSgW+EJgtgw7V1DuxjdtKoC74Rh4QKcsKiU4A2LKPpN1XrW&#10;I7rR1biur6oefOs8cBECnt4XJZ1lfCkFj49SBhGJbijeLebV53Wd1mp2y6Ybz1yn+PEa7B9uYZiy&#10;GHSAumeRka1Xf0AZxT0EkPGCg6lASsVFzgGzGdW/ZfPUMSdyLkhOcANN4f/B8k+7J7fySEPvwjTg&#10;NmWxl96kP96P7DNZh4EssY+E4+H1VV3fXCKnHHWTyeX1dWazOns7H+J7AYakTUM9PkbmiO0eQsSI&#10;aHoyScG0TWsArdql0joLqQzEQnuyY/iA6804A+it+QhtObup8UvPiGi5apJ5kc5IqEvo1TnHvIsH&#10;LUrkz0IS1WJWJcAAVGIwzoWNoxw7dKwV5fjyr6G1RcCELDGRAXtU128Lxq9p6Tg+JnA0T54iF+/g&#10;W7/keLpXyX7wyIHBxsHZKAv+JQCNSRVnWexPHBVmEklxv94jNdjbyTKdrKE9rDzxUJopOL5U+MAP&#10;LMQV89g9WBM4EeIjLlJD31A47ijpwP946TzZY1GjlpIeu7Gh4fuWeUGJ/mCx3G9Gk0lq3yxgrY1R&#10;8M816+cauzULwHoZ4exxPG+TfdSnrfRgvuHgmKeoqGKWY+yG8uhPwiKWKYGjh4v5PJthyzoWH+yT&#10;4wk88Wxhvo0gVa7nMztHHrFpcykeB0yaCs/lbHUeg7OfAAAA//8DAFBLAwQUAAYACAAAACEACowf&#10;ZOEAAAAMAQAADwAAAGRycy9kb3ducmV2LnhtbEyPwU7DMAyG70i8Q2Qkblta1FSlazohJNgBgUTh&#10;spvXhLZa4lRN1pW3Jzuxmy1/+v391Xaxhs168oMjCek6AaapdWqgTsL318uqAOYDkkLjSEv41R62&#10;9e1NhaVyZ/rUcxM6FkPIlyihD2EsOfdtry36tRs1xduPmyyGuE4dVxOeY7g1/CFJcm5xoPihx1E/&#10;97o9Nicr4X0n5mBexYhvH77ZH3cioBBS3t8tTxtgQS/hH4aLflSHOjod3ImUZ0bCKhV5GlkJRZYD&#10;uxBJljwCO8RJZAXwuuLXJeo/AAAA//8DAFBLAQItABQABgAIAAAAIQC2gziS/gAAAOEBAAATAAAA&#10;AAAAAAAAAAAAAAAAAABbQ29udGVudF9UeXBlc10ueG1sUEsBAi0AFAAGAAgAAAAhADj9If/WAAAA&#10;lAEAAAsAAAAAAAAAAAAAAAAALwEAAF9yZWxzLy5yZWxzUEsBAi0AFAAGAAgAAAAhAH7NQkJ7AgAA&#10;TgUAAA4AAAAAAAAAAAAAAAAALgIAAGRycy9lMm9Eb2MueG1sUEsBAi0AFAAGAAgAAAAhAAqMH2Th&#10;AAAADAEAAA8AAAAAAAAAAAAAAAAA1QQAAGRycy9kb3ducmV2LnhtbFBLBQYAAAAABAAEAPMAAADj&#10;BQAAAAA=&#10;" o:allowoverlap="f" fillcolor="#e9e9e9 [2995]" strokecolor="#d0d0d0 [2894]" strokeweight="1pt">
              <v:fill color2="#919191 [2019]" rotate="t" colors="0 #ececec;.5 #e5e5e5;1 #bdbdbd" focus="100%" type="gradient">
                <o:fill v:ext="view" type="gradientUnscaled"/>
              </v:fill>
              <v:textbox>
                <w:txbxContent>
                  <w:sdt>
                    <w:sdtPr>
                      <w:rPr>
                        <w:rFonts w:ascii="Segoe Print" w:hAnsi="Segoe Print"/>
                        <w:b/>
                        <w:bCs/>
                        <w:i/>
                        <w:iCs/>
                        <w:caps/>
                        <w:color w:val="262626" w:themeColor="text1" w:themeTint="D9"/>
                        <w:sz w:val="32"/>
                        <w:szCs w:val="32"/>
                      </w:rPr>
                      <w:alias w:val="Title"/>
                      <w:id w:val="1189017394"/>
                      <w:dataBinding w:prefixMappings="xmlns:ns0='http://purl.org/dc/elements/1.1/' xmlns:ns1='http://schemas.openxmlformats.org/package/2006/metadata/core-properties' " w:xpath="/ns1:coreProperties[1]/ns0:title[1]" w:storeItemID="{6C3C8BC8-F283-45AE-878A-BAB7291924A1}"/>
                      <w:text/>
                    </w:sdtPr>
                    <w:sdtEndPr/>
                    <w:sdtContent>
                      <w:p w14:paraId="67BEDE65" w14:textId="70627B87" w:rsidR="00502BB2" w:rsidRDefault="00DC455F">
                        <w:pPr>
                          <w:pStyle w:val="Header"/>
                          <w:jc w:val="right"/>
                          <w:rPr>
                            <w:rFonts w:ascii="Segoe Print" w:hAnsi="Segoe Print"/>
                            <w:caps/>
                            <w:color w:val="262626" w:themeColor="text1" w:themeTint="D9"/>
                          </w:rPr>
                        </w:pPr>
                        <w:r>
                          <w:rPr>
                            <w:rFonts w:ascii="Segoe Print" w:hAnsi="Segoe Print"/>
                            <w:b/>
                            <w:bCs/>
                            <w:i/>
                            <w:iCs/>
                            <w:caps/>
                            <w:color w:val="262626" w:themeColor="text1" w:themeTint="D9"/>
                            <w:sz w:val="32"/>
                            <w:szCs w:val="32"/>
                          </w:rPr>
                          <w:t>INTRODUCTION</w:t>
                        </w:r>
                      </w:p>
                    </w:sdtContent>
                  </w:sdt>
                </w:txbxContent>
              </v:textbox>
              <w10:wrap type="square" anchorx="margin" anchory="margin"/>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80BDB" w14:textId="77777777" w:rsidR="00502BB2" w:rsidRDefault="00502BB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5AC2D" w14:textId="77777777" w:rsidR="00DC455F" w:rsidRDefault="00DC455F">
    <w:pPr>
      <w:pStyle w:val="Header"/>
    </w:pPr>
    <w:r>
      <w:rPr>
        <w:noProof/>
        <w:color w:val="156082" w:themeColor="accent1"/>
      </w:rPr>
      <mc:AlternateContent>
        <mc:Choice Requires="wps">
          <w:drawing>
            <wp:anchor distT="0" distB="0" distL="118745" distR="118745" simplePos="0" relativeHeight="251674624" behindDoc="1" locked="0" layoutInCell="1" allowOverlap="0" wp14:anchorId="44AAE4AF" wp14:editId="6B13D91A">
              <wp:simplePos x="0" y="0"/>
              <wp:positionH relativeFrom="margin">
                <wp:posOffset>-991235</wp:posOffset>
              </wp:positionH>
              <wp:positionV relativeFrom="topMargin">
                <wp:posOffset>537210</wp:posOffset>
              </wp:positionV>
              <wp:extent cx="7600950" cy="445770"/>
              <wp:effectExtent l="0" t="0" r="19050" b="11430"/>
              <wp:wrapSquare wrapText="bothSides"/>
              <wp:docPr id="1533632097" name="Rectangle 200"/>
              <wp:cNvGraphicFramePr/>
              <a:graphic xmlns:a="http://schemas.openxmlformats.org/drawingml/2006/main">
                <a:graphicData uri="http://schemas.microsoft.com/office/word/2010/wordprocessingShape">
                  <wps:wsp>
                    <wps:cNvSpPr/>
                    <wps:spPr>
                      <a:xfrm>
                        <a:off x="0" y="0"/>
                        <a:ext cx="7600950" cy="445770"/>
                      </a:xfrm>
                      <a:prstGeom prst="rect">
                        <a:avLst/>
                      </a:prstGeom>
                      <a:ln>
                        <a:solidFill>
                          <a:schemeClr val="bg2">
                            <a:lumMod val="90000"/>
                          </a:schemeClr>
                        </a:solidFill>
                      </a:ln>
                    </wps:spPr>
                    <wps:style>
                      <a:lnRef idx="2">
                        <a:schemeClr val="accent1">
                          <a:shade val="50000"/>
                        </a:schemeClr>
                      </a:lnRef>
                      <a:fillRef idx="1003">
                        <a:schemeClr val="lt2"/>
                      </a:fillRef>
                      <a:effectRef idx="0">
                        <a:schemeClr val="accent1"/>
                      </a:effectRef>
                      <a:fontRef idx="minor">
                        <a:schemeClr val="lt1"/>
                      </a:fontRef>
                    </wps:style>
                    <wps:txbx>
                      <w:txbxContent>
                        <w:sdt>
                          <w:sdtPr>
                            <w:rPr>
                              <w:rFonts w:ascii="Segoe Print" w:hAnsi="Segoe Print"/>
                              <w:b/>
                              <w:bCs/>
                              <w:i/>
                              <w:iCs/>
                              <w:caps/>
                              <w:color w:val="262626" w:themeColor="text1" w:themeTint="D9"/>
                              <w:sz w:val="32"/>
                              <w:szCs w:val="32"/>
                            </w:rPr>
                            <w:alias w:val="Title"/>
                            <w:id w:val="-1994319376"/>
                            <w:dataBinding w:prefixMappings="xmlns:ns0='http://purl.org/dc/elements/1.1/' xmlns:ns1='http://schemas.openxmlformats.org/package/2006/metadata/core-properties' " w:xpath="/ns1:coreProperties[1]/ns0:title[1]" w:storeItemID="{6C3C8BC8-F283-45AE-878A-BAB7291924A1}"/>
                            <w:text/>
                          </w:sdtPr>
                          <w:sdtContent>
                            <w:p w14:paraId="309F172A" w14:textId="62129255" w:rsidR="00DC455F" w:rsidRDefault="00DC455F" w:rsidP="00DC455F">
                              <w:pPr>
                                <w:pStyle w:val="Header"/>
                                <w:jc w:val="right"/>
                                <w:rPr>
                                  <w:rFonts w:ascii="Segoe Print" w:hAnsi="Segoe Print"/>
                                  <w:caps/>
                                  <w:color w:val="262626" w:themeColor="text1" w:themeTint="D9"/>
                                </w:rPr>
                              </w:pPr>
                              <w:r>
                                <w:rPr>
                                  <w:rFonts w:ascii="Segoe Print" w:hAnsi="Segoe Print"/>
                                  <w:b/>
                                  <w:bCs/>
                                  <w:i/>
                                  <w:iCs/>
                                  <w:caps/>
                                  <w:color w:val="262626" w:themeColor="text1" w:themeTint="D9"/>
                                  <w:sz w:val="32"/>
                                  <w:szCs w:val="32"/>
                                </w:rPr>
                                <w:t>INTRODUCTION</w:t>
                              </w:r>
                            </w:p>
                          </w:sdtContent>
                        </w:sdt>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4AAE4AF" id="_x0000_s1061" style="position:absolute;margin-left:-78.05pt;margin-top:42.3pt;width:598.5pt;height:35.1pt;z-index:-251641856;visibility:visible;mso-wrap-style:square;mso-wrap-distance-left:9.35pt;mso-wrap-distance-top:0;mso-wrap-distance-right:9.35pt;mso-wrap-distance-bottom:0;mso-position-horizontal:absolute;mso-position-horizontal-relative:margin;mso-position-vertical:absolute;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7XOewIAAE4FAAAOAAAAZHJzL2Uyb0RvYy54bWysVFFvEzEMfkfiP0R5Z3ct3caqXaeqUxHS&#10;YBUD8Zzmkl6kJA5J2mv59ThJex0wXhD3kItj+3P8xfbt3d5oshM+KLANHV3UlAjLoVV209CvX5Zv&#10;3lESIrMt02BFQw8i0LvZ61e3vZuKMXSgW+EJgtgw7V1DuxjdtKoC74Rh4QKcsKiU4A2LKPpN1XrW&#10;I7rR1biur6oefOs8cBECnt4XJZ1lfCkFj49SBhGJbijeLebV53Wd1mp2y6Ybz1yn+PEa7B9uYZiy&#10;GHSAumeRka1Xf0AZxT0EkPGCg6lASsVFzgGzGdW/ZfPUMSdyLkhOcANN4f/B8k+7J7fySEPvwjTg&#10;NmWxl96kP96P7DNZh4EssY+E4+H1VV3fXCKnHHWTyeX1dWazOns7H+J7AYakTUM9PkbmiO0eQsSI&#10;aHoyScG0TWsArdql0joLqQzEQnuyY/iA6804A+it+QhtObup8UvPiGi5apJ5kc5IqEvo1TnHvIsH&#10;LUrkz0IS1WJWJcAAVGIwzoWNoxw7dKwV5fjyr6G1RcCELDGRAXtU128Lxq9p6Tg+JnA0T54iF+/g&#10;W7/keLpXyX7wyIHBxsHZKAv+JQCNSRVnWexPHBVmEklxv94jNYkZtEwna2gPK088lGYKji8VPvAD&#10;C3HFPHYP1gROhPiIi9TQNxSOO0o68D9eOk/2WNSopaTHbmxo+L5lXlCiP1gs95vRZJLaNwtYa2MU&#10;/HPN+rnGbs0CsF5GOHscz9tkH/VpKz2Ybzg45ikqqpjlGLuhPPqTsIhlSuDo4WI+z2bYso7FB/vk&#10;eAJPPFuYbyNIlev5zM6RR2zaXIrHAZOmwnM5W53H4OwnAAAA//8DAFBLAwQUAAYACAAAACEACowf&#10;ZOEAAAAMAQAADwAAAGRycy9kb3ducmV2LnhtbEyPwU7DMAyG70i8Q2Qkblta1FSlazohJNgBgUTh&#10;spvXhLZa4lRN1pW3Jzuxmy1/+v391Xaxhs168oMjCek6AaapdWqgTsL318uqAOYDkkLjSEv41R62&#10;9e1NhaVyZ/rUcxM6FkPIlyihD2EsOfdtry36tRs1xduPmyyGuE4dVxOeY7g1/CFJcm5xoPihx1E/&#10;97o9Nicr4X0n5mBexYhvH77ZH3cioBBS3t8tTxtgQS/hH4aLflSHOjod3ImUZ0bCKhV5GlkJRZYD&#10;uxBJljwCO8RJZAXwuuLXJeo/AAAA//8DAFBLAQItABQABgAIAAAAIQC2gziS/gAAAOEBAAATAAAA&#10;AAAAAAAAAAAAAAAAAABbQ29udGVudF9UeXBlc10ueG1sUEsBAi0AFAAGAAgAAAAhADj9If/WAAAA&#10;lAEAAAsAAAAAAAAAAAAAAAAALwEAAF9yZWxzLy5yZWxzUEsBAi0AFAAGAAgAAAAhAGVPtc57AgAA&#10;TgUAAA4AAAAAAAAAAAAAAAAALgIAAGRycy9lMm9Eb2MueG1sUEsBAi0AFAAGAAgAAAAhAAqMH2Th&#10;AAAADAEAAA8AAAAAAAAAAAAAAAAA1QQAAGRycy9kb3ducmV2LnhtbFBLBQYAAAAABAAEAPMAAADj&#10;BQAAAAA=&#10;" o:allowoverlap="f" fillcolor="#e9e9e9 [2995]" strokecolor="#d0d0d0 [2894]" strokeweight="1pt">
              <v:fill color2="#919191 [2019]" rotate="t" colors="0 #ececec;.5 #e5e5e5;1 #bdbdbd" focus="100%" type="gradient">
                <o:fill v:ext="view" type="gradientUnscaled"/>
              </v:fill>
              <v:textbox>
                <w:txbxContent>
                  <w:sdt>
                    <w:sdtPr>
                      <w:rPr>
                        <w:rFonts w:ascii="Segoe Print" w:hAnsi="Segoe Print"/>
                        <w:b/>
                        <w:bCs/>
                        <w:i/>
                        <w:iCs/>
                        <w:caps/>
                        <w:color w:val="262626" w:themeColor="text1" w:themeTint="D9"/>
                        <w:sz w:val="32"/>
                        <w:szCs w:val="32"/>
                      </w:rPr>
                      <w:alias w:val="Title"/>
                      <w:id w:val="-1994319376"/>
                      <w:dataBinding w:prefixMappings="xmlns:ns0='http://purl.org/dc/elements/1.1/' xmlns:ns1='http://schemas.openxmlformats.org/package/2006/metadata/core-properties' " w:xpath="/ns1:coreProperties[1]/ns0:title[1]" w:storeItemID="{6C3C8BC8-F283-45AE-878A-BAB7291924A1}"/>
                      <w:text/>
                    </w:sdtPr>
                    <w:sdtContent>
                      <w:p w14:paraId="309F172A" w14:textId="62129255" w:rsidR="00DC455F" w:rsidRDefault="00DC455F" w:rsidP="00DC455F">
                        <w:pPr>
                          <w:pStyle w:val="Header"/>
                          <w:jc w:val="right"/>
                          <w:rPr>
                            <w:rFonts w:ascii="Segoe Print" w:hAnsi="Segoe Print"/>
                            <w:caps/>
                            <w:color w:val="262626" w:themeColor="text1" w:themeTint="D9"/>
                          </w:rPr>
                        </w:pPr>
                        <w:r>
                          <w:rPr>
                            <w:rFonts w:ascii="Segoe Print" w:hAnsi="Segoe Print"/>
                            <w:b/>
                            <w:bCs/>
                            <w:i/>
                            <w:iCs/>
                            <w:caps/>
                            <w:color w:val="262626" w:themeColor="text1" w:themeTint="D9"/>
                            <w:sz w:val="32"/>
                            <w:szCs w:val="32"/>
                          </w:rPr>
                          <w:t>INTRODUCTION</w:t>
                        </w:r>
                      </w:p>
                    </w:sdtContent>
                  </w:sdt>
                </w:txbxContent>
              </v:textbox>
              <w10:wrap type="square" anchorx="margin" anchory="margin"/>
            </v:rect>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0484" w14:textId="77777777" w:rsidR="00502BB2" w:rsidRDefault="0069123E">
    <w:pPr>
      <w:pStyle w:val="Header"/>
    </w:pPr>
    <w:r>
      <w:rPr>
        <w:noProof/>
        <w:color w:val="156082" w:themeColor="accent1"/>
      </w:rPr>
      <mc:AlternateContent>
        <mc:Choice Requires="wps">
          <w:drawing>
            <wp:anchor distT="0" distB="0" distL="118745" distR="118745" simplePos="0" relativeHeight="251669504" behindDoc="1" locked="0" layoutInCell="1" allowOverlap="0" wp14:anchorId="0FCB7144" wp14:editId="0AC4FB4C">
              <wp:simplePos x="0" y="0"/>
              <wp:positionH relativeFrom="margin">
                <wp:posOffset>-1059180</wp:posOffset>
              </wp:positionH>
              <wp:positionV relativeFrom="topMargin">
                <wp:posOffset>334010</wp:posOffset>
              </wp:positionV>
              <wp:extent cx="7600950" cy="445770"/>
              <wp:effectExtent l="0" t="0" r="19050" b="11430"/>
              <wp:wrapSquare wrapText="bothSides"/>
              <wp:docPr id="477946868" name="Rectangle 200"/>
              <wp:cNvGraphicFramePr/>
              <a:graphic xmlns:a="http://schemas.openxmlformats.org/drawingml/2006/main">
                <a:graphicData uri="http://schemas.microsoft.com/office/word/2010/wordprocessingShape">
                  <wps:wsp>
                    <wps:cNvSpPr/>
                    <wps:spPr>
                      <a:xfrm>
                        <a:off x="0" y="0"/>
                        <a:ext cx="7600950" cy="445770"/>
                      </a:xfrm>
                      <a:prstGeom prst="rect">
                        <a:avLst/>
                      </a:prstGeom>
                      <a:ln>
                        <a:solidFill>
                          <a:schemeClr val="bg2">
                            <a:lumMod val="90000"/>
                          </a:schemeClr>
                        </a:solidFill>
                      </a:ln>
                    </wps:spPr>
                    <wps:style>
                      <a:lnRef idx="2">
                        <a:schemeClr val="accent1">
                          <a:shade val="50000"/>
                        </a:schemeClr>
                      </a:lnRef>
                      <a:fillRef idx="1003">
                        <a:schemeClr val="lt2"/>
                      </a:fillRef>
                      <a:effectRef idx="0">
                        <a:schemeClr val="accent1"/>
                      </a:effectRef>
                      <a:fontRef idx="minor">
                        <a:schemeClr val="lt1"/>
                      </a:fontRef>
                    </wps:style>
                    <wps:txbx>
                      <w:txbxContent>
                        <w:p w14:paraId="20AEDC74" w14:textId="5D983A8F" w:rsidR="00502BB2" w:rsidRDefault="00DC455F">
                          <w:pPr>
                            <w:pStyle w:val="Header"/>
                            <w:jc w:val="right"/>
                            <w:rPr>
                              <w:rFonts w:ascii="Segoe Print" w:hAnsi="Segoe Print"/>
                              <w:caps/>
                              <w:color w:val="262626" w:themeColor="text1" w:themeTint="D9"/>
                            </w:rPr>
                          </w:pPr>
                          <w:r>
                            <w:rPr>
                              <w:rFonts w:ascii="Segoe Print" w:hAnsi="Segoe Print"/>
                              <w:b/>
                              <w:bCs/>
                              <w:i/>
                              <w:iCs/>
                              <w:caps/>
                              <w:color w:val="262626" w:themeColor="text1" w:themeTint="D9"/>
                              <w:sz w:val="32"/>
                              <w:szCs w:val="32"/>
                            </w:rPr>
                            <w:t>SYNTHESE BIBLIOGRAPHIQUE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FCB7144" id="_x0000_s1062" style="position:absolute;margin-left:-83.4pt;margin-top:26.3pt;width:598.5pt;height:35.1pt;z-index:-251646976;visibility:visible;mso-wrap-style:square;mso-wrap-distance-left:9.35pt;mso-wrap-distance-top:0;mso-wrap-distance-right:9.35pt;mso-wrap-distance-bottom:0;mso-position-horizontal:absolute;mso-position-horizontal-relative:margin;mso-position-vertical:absolute;mso-position-vertical-relative:top-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Ri1ewIAAE4FAAAOAAAAZHJzL2Uyb0RvYy54bWysVN9vGyEMfp+0/wHxvt4lTX9FuVRRqk6T&#10;urVaN+2ZcJBDAsyA5JL99TOQXLqte5l2DxzG9mf8YXt2uzOabIUPCmxDR2c1JcJyaJVdN/Trl/t3&#10;15SEyGzLNFjR0L0I9Hb+9s2sd1Mxhg50KzxBEBumvWtoF6ObVlXgnTAsnIETFpUSvGERRb+uWs96&#10;RDe6Gtf1ZdWDb50HLkLA07uipPOML6Xg8VHKICLRDcW7xbz6vK7SWs1nbLr2zHWKH67B/uEWhimL&#10;QQeoOxYZ2Xj1B5RR3EMAGc84mAqkVFzkHDCbUf1bNs8dcyLnguQEN9AU/h8s/7R9dk8eaehdmAbc&#10;pix20pv0x/uRXSZrP5AldpFwPLy6rOubC+SUo24yubi6ymxWJ2/nQ3wvwJC0aajHx8gcse1DiBgR&#10;TY8mKZi2aQ2gVXuvtM5CKgOx1J5sGT7gaj3OAHpjPkJbzm5q/NIzIlqummRepBMS6hJ6dcox7+Je&#10;ixL5s5BEtZhVCTAAlRiMc2HjKMcOHWtFOb74a2htETAhS0xkwB7V9XnB+DUtHceHBA7myVPk4h18&#10;69ccj/cq2Q8eOTDYODgbZcG/BqAxqeIsi/2Ro8JMIinuVjukpqHnyTKdrKDdP3nioTRTcPxe4QM/&#10;sBCfmMfuwZrAiRAfcZEa+obCYUdJB/7Ha+fJHosatZT02I0NDd83zAtK9AeL5X4zmkxS+2YBa22M&#10;gn+pWb3U2I1ZAtbLCGeP43mb7KM+bqUH8w0HxyJFRRWzHGM3lEd/FJaxTAkcPVwsFtkMW9ax+GCf&#10;HU/giWcLi00EqXI9n9g58IhNm0vxMGDSVHgpZ6vTGJz/BAAA//8DAFBLAwQUAAYACAAAACEATcDM&#10;O+AAAAAMAQAADwAAAGRycy9kb3ducmV2LnhtbEyPzU7DMBCE70i8g7VI3Fq7Ro6qEKdCSNADAonA&#10;hds2NklU/0TxNg1vj3uC2452NPNNtVu8Y7Od0hCDhs1aALOhjWYInYbPj6fVFlgiDAZdDFbDj02w&#10;q6+vKixNPId3OzfUsRwSUokaeqKx5Dy1vfWY1nG0If++4+SRspw6biY853DvuBSi4B6HkBt6HO1j&#10;b9tjc/IaXvdqJvesRnx5S83Xca8IldL69mZ5uAdGdqE/M1zwMzrUmekQT8Ek5jSsNkWR2UmDkgWw&#10;i0PcCQnskC8pt8Driv8fUf8CAAD//wMAUEsBAi0AFAAGAAgAAAAhALaDOJL+AAAA4QEAABMAAAAA&#10;AAAAAAAAAAAAAAAAAFtDb250ZW50X1R5cGVzXS54bWxQSwECLQAUAAYACAAAACEAOP0h/9YAAACU&#10;AQAACwAAAAAAAAAAAAAAAAAvAQAAX3JlbHMvLnJlbHNQSwECLQAUAAYACAAAACEAbDEYtXsCAABO&#10;BQAADgAAAAAAAAAAAAAAAAAuAgAAZHJzL2Uyb0RvYy54bWxQSwECLQAUAAYACAAAACEATcDMO+AA&#10;AAAMAQAADwAAAAAAAAAAAAAAAADVBAAAZHJzL2Rvd25yZXYueG1sUEsFBgAAAAAEAAQA8wAAAOIF&#10;AAAAAA==&#10;" o:allowoverlap="f" fillcolor="#e9e9e9 [2995]" strokecolor="#d0d0d0 [2894]" strokeweight="1pt">
              <v:fill color2="#919191 [2019]" rotate="t" colors="0 #ececec;.5 #e5e5e5;1 #bdbdbd" focus="100%" type="gradient">
                <o:fill v:ext="view" type="gradientUnscaled"/>
              </v:fill>
              <v:textbox>
                <w:txbxContent>
                  <w:p w14:paraId="20AEDC74" w14:textId="5D983A8F" w:rsidR="00502BB2" w:rsidRDefault="00DC455F">
                    <w:pPr>
                      <w:pStyle w:val="Header"/>
                      <w:jc w:val="right"/>
                      <w:rPr>
                        <w:rFonts w:ascii="Segoe Print" w:hAnsi="Segoe Print"/>
                        <w:caps/>
                        <w:color w:val="262626" w:themeColor="text1" w:themeTint="D9"/>
                      </w:rPr>
                    </w:pPr>
                    <w:r>
                      <w:rPr>
                        <w:rFonts w:ascii="Segoe Print" w:hAnsi="Segoe Print"/>
                        <w:b/>
                        <w:bCs/>
                        <w:i/>
                        <w:iCs/>
                        <w:caps/>
                        <w:color w:val="262626" w:themeColor="text1" w:themeTint="D9"/>
                        <w:sz w:val="32"/>
                        <w:szCs w:val="32"/>
                      </w:rPr>
                      <w:t>SYNTHESE BIBLIOGRAPHIQUE</w:t>
                    </w:r>
                  </w:p>
                </w:txbxContent>
              </v:textbox>
              <w10:wrap type="square" anchorx="margin" anchory="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47CF" w14:textId="77777777" w:rsidR="00502BB2" w:rsidRDefault="00502BB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9D8DA" w14:textId="77777777" w:rsidR="00502BB2" w:rsidRDefault="0069123E">
    <w:pPr>
      <w:pStyle w:val="Header"/>
    </w:pPr>
    <w:r>
      <w:rPr>
        <w:noProof/>
      </w:rPr>
      <mc:AlternateContent>
        <mc:Choice Requires="wps">
          <w:drawing>
            <wp:anchor distT="0" distB="0" distL="118745" distR="118745" simplePos="0" relativeHeight="251661312" behindDoc="1" locked="0" layoutInCell="1" allowOverlap="0" wp14:anchorId="41E951ED" wp14:editId="2EF8B73B">
              <wp:simplePos x="0" y="0"/>
              <wp:positionH relativeFrom="margin">
                <wp:posOffset>-889000</wp:posOffset>
              </wp:positionH>
              <wp:positionV relativeFrom="page">
                <wp:posOffset>337185</wp:posOffset>
              </wp:positionV>
              <wp:extent cx="7521575" cy="394335"/>
              <wp:effectExtent l="0" t="0" r="3175" b="5715"/>
              <wp:wrapSquare wrapText="bothSides"/>
              <wp:docPr id="127671409" name="Rectangle 200"/>
              <wp:cNvGraphicFramePr/>
              <a:graphic xmlns:a="http://schemas.openxmlformats.org/drawingml/2006/main">
                <a:graphicData uri="http://schemas.microsoft.com/office/word/2010/wordprocessingShape">
                  <wps:wsp>
                    <wps:cNvSpPr/>
                    <wps:spPr>
                      <a:xfrm>
                        <a:off x="0" y="0"/>
                        <a:ext cx="7521575" cy="394335"/>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5556747F"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Cadre pratique de l’étude</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1E951ED" id="_x0000_s1063" style="position:absolute;margin-left:-70pt;margin-top:26.55pt;width:592.25pt;height:31.05pt;z-index:-251655168;visibility:visible;mso-wrap-style:square;mso-wrap-distance-left:9.35pt;mso-wrap-distance-top:0;mso-wrap-distance-right:9.35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cygXgIAAAIFAAAOAAAAZHJzL2Uyb0RvYy54bWysVE1v2zAMvQ/YfxB0X23nY12DOkWQosOA&#10;Yi3aDTsrshQbkEWNUuJkv36U7DjFltMwH2RKJB/JJ1K3d4fWsL1C34AteXGVc6ashKqx25J///bw&#10;4RNnPghbCQNWlfyoPL9bvn9327mFmkANplLICMT6RedKXofgFlnmZa1a4a/AKUtKDdiKQFvcZhWK&#10;jtBbk03y/GPWAVYOQSrv6fS+V/JlwtdayfCktVeBmZJTbiGtmNZNXLPlrVhsUbi6kUMa4h+yaEVj&#10;KegIdS+CYDts/oJqG4ngQYcrCW0GWjdSpRqomiL/o5rXWjiVaiFyvBtp8v8PVn7dv7pnJBo65xee&#10;xFjFQWMb/5QfOySyjiNZ6hCYpMPr+aSYX885k6Sb3sym03lkMzt7O/Ths4KWRaHkSJeROBL7Rx96&#10;05NJDGZsXC08NMb02niSnfNKUjga1Vu/KM2aijKZJNTUMmptkO0FXbaQUtlQ9KpaVKo/nuf0DXmO&#10;HilrYwkwImuKP2IXeT69BG/CZEAZzKOnSg03+uaXHE959RWOHikw2DA6t40FvARgqKjeWff2J456&#10;ZiJJ4bA5EDUln0XLeLKB6viMDKEfAO/kQ0OX8ih8eBZIHU+zQVMcnmjRBrqSwyBxVgP+unQe7akR&#10;SctZRxNUcv9zJ1BxZr5YatGbYjaLI5c2s/n1hDb4VrN5q7G7dg10bwW9F04mMdoHcxI1QvuDhn0V&#10;o5JKWEmxSy4Dnjbr0E82PRdSrVbJjMbMifBoX52M4JFnC6tdAN2kHjyzM/BIg5b6YXgU4iS/3Ser&#10;89O1/A0AAP//AwBQSwMEFAAGAAgAAAAhAJ0JQCPgAAAADAEAAA8AAABkcnMvZG93bnJldi54bWxM&#10;j8FOwzAQRO9I/IO1SNxaO6mDqhCnQqgc4IBK4QM2sUki7HUUO23697gnuM1qRrNvqt3iLDuZKQye&#10;FGRrAcxQ6/VAnYKvz5fVFliISBqtJ6PgYgLs6tubCkvtz/RhTsfYsVRCoUQFfYxjyXloe+MwrP1o&#10;KHnffnIY0zl1XE94TuXO8lyIB+5woPShx9E896b9Oc5OAcr92+veHpppe5mR8o08vBdeqfu75ekR&#10;WDRL/AvDFT+hQ52YGj+TDswqWGVSpDFRQbHJgF0TQsoCWJNUVuTA64r/H1H/AgAA//8DAFBLAQIt&#10;ABQABgAIAAAAIQC2gziS/gAAAOEBAAATAAAAAAAAAAAAAAAAAAAAAABbQ29udGVudF9UeXBlc10u&#10;eG1sUEsBAi0AFAAGAAgAAAAhADj9If/WAAAAlAEAAAsAAAAAAAAAAAAAAAAALwEAAF9yZWxzLy5y&#10;ZWxzUEsBAi0AFAAGAAgAAAAhACahzKBeAgAAAgUAAA4AAAAAAAAAAAAAAAAALgIAAGRycy9lMm9E&#10;b2MueG1sUEsBAi0AFAAGAAgAAAAhAJ0JQCPgAAAADAEAAA8AAAAAAAAAAAAAAAAAuAQAAGRycy9k&#10;b3ducmV2LnhtbFBLBQYAAAAABAAEAPMAAADFBQAAAAA=&#10;" o:allowoverlap="f" fillcolor="#e9e9e9 [2995]" stroked="f" strokeweight="1pt">
              <v:fill color2="#919191 [2019]" rotate="t" colors="0 #ececec;.5 #e5e5e5;1 #bdbdbd" focus="100%" type="gradient">
                <o:fill v:ext="view" type="gradientUnscaled"/>
              </v:fill>
              <v:textbox>
                <w:txbxContent>
                  <w:p w14:paraId="5556747F"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Cadre pratique de l’étude</w:t>
                    </w:r>
                  </w:p>
                </w:txbxContent>
              </v:textbox>
              <w10:wrap type="square" anchorx="margin" anchory="page"/>
            </v:rect>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7F0165" w14:textId="77777777" w:rsidR="00502BB2" w:rsidRDefault="00502BB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A7A7B" w14:textId="77777777" w:rsidR="00502BB2" w:rsidRDefault="0069123E">
    <w:pPr>
      <w:pStyle w:val="Header"/>
    </w:pPr>
    <w:r>
      <w:rPr>
        <w:noProof/>
      </w:rPr>
      <mc:AlternateContent>
        <mc:Choice Requires="wps">
          <w:drawing>
            <wp:anchor distT="0" distB="0" distL="118745" distR="118745" simplePos="0" relativeHeight="251662336" behindDoc="1" locked="0" layoutInCell="1" allowOverlap="0" wp14:anchorId="169A2CE0" wp14:editId="33B84A11">
              <wp:simplePos x="0" y="0"/>
              <wp:positionH relativeFrom="margin">
                <wp:posOffset>-889000</wp:posOffset>
              </wp:positionH>
              <wp:positionV relativeFrom="page">
                <wp:posOffset>337185</wp:posOffset>
              </wp:positionV>
              <wp:extent cx="7521575" cy="394335"/>
              <wp:effectExtent l="0" t="0" r="3175" b="5715"/>
              <wp:wrapSquare wrapText="bothSides"/>
              <wp:docPr id="301435136" name="Rectangle 200"/>
              <wp:cNvGraphicFramePr/>
              <a:graphic xmlns:a="http://schemas.openxmlformats.org/drawingml/2006/main">
                <a:graphicData uri="http://schemas.microsoft.com/office/word/2010/wordprocessingShape">
                  <wps:wsp>
                    <wps:cNvSpPr/>
                    <wps:spPr>
                      <a:xfrm>
                        <a:off x="0" y="0"/>
                        <a:ext cx="7521575" cy="394335"/>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125E91BC"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RESULTATS et DISCUSSION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69A2CE0" id="_x0000_s1064" style="position:absolute;margin-left:-70pt;margin-top:26.55pt;width:592.25pt;height:31.05pt;z-index:-251654144;visibility:visible;mso-wrap-style:square;mso-wrap-distance-left:9.35pt;mso-wrap-distance-top:0;mso-wrap-distance-right:9.35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2HbXgIAAAIFAAAOAAAAZHJzL2Uyb0RvYy54bWysVE1v2zAMvQ/YfxB0X23nY12DOkWQosOA&#10;Yi3aDTsrshQbkEWNUuJkv36U7DjFltMwH2RKJB/JJ1K3d4fWsL1C34AteXGVc6ashKqx25J///bw&#10;4RNnPghbCQNWlfyoPL9bvn9327mFmkANplLICMT6RedKXofgFlnmZa1a4a/AKUtKDdiKQFvcZhWK&#10;jtBbk03y/GPWAVYOQSrv6fS+V/JlwtdayfCktVeBmZJTbiGtmNZNXLPlrVhsUbi6kUMa4h+yaEVj&#10;KegIdS+CYDts/oJqG4ngQYcrCW0GWjdSpRqomiL/o5rXWjiVaiFyvBtp8v8PVn7dv7pnJBo65xee&#10;xFjFQWMb/5QfOySyjiNZ6hCYpMPr+aSYX885k6Sb3sym03lkMzt7O/Ths4KWRaHkSJeROBL7Rx96&#10;05NJDGZsXC08NMb02niSnfNKUjga1Vu/KM2aijKZJNTUMmptkO0FXbaQUtlQ9KpaVKo/nuf0DXmO&#10;HilrYwkwImuKP2IXeT69BG/CZEAZzKOnSg03+uaXHE959RWOHikw2DA6t40FvARgqKjeWff2J456&#10;ZiJJ4bA5EDUlTzcSTzZQHZ+RIfQD4J18aOhSHoUPzwKp42k2aIrDEy3aQFdyGCTOasBfl86jPTUi&#10;aTnraIJK7n/uBCrOzBdLLXpTzGZx5NJmNr+e0AbfajZvNXbXroHuraD3wskkRvtgTqJGaH/QsK9i&#10;VFIJKyl2yWXA02Yd+smm50Kq1SqZ0Zg5ER7tq5MRPPJsYbULoJvUg2d2Bh5p0FI/DI9CnOS3+2R1&#10;frqWvwEAAP//AwBQSwMEFAAGAAgAAAAhAJ0JQCPgAAAADAEAAA8AAABkcnMvZG93bnJldi54bWxM&#10;j8FOwzAQRO9I/IO1SNxaO6mDqhCnQqgc4IBK4QM2sUki7HUUO23697gnuM1qRrNvqt3iLDuZKQye&#10;FGRrAcxQ6/VAnYKvz5fVFliISBqtJ6PgYgLs6tubCkvtz/RhTsfYsVRCoUQFfYxjyXloe+MwrP1o&#10;KHnffnIY0zl1XE94TuXO8lyIB+5woPShx9E896b9Oc5OAcr92+veHpppe5mR8o08vBdeqfu75ekR&#10;WDRL/AvDFT+hQ52YGj+TDswqWGVSpDFRQbHJgF0TQsoCWJNUVuTA64r/H1H/AgAA//8DAFBLAQIt&#10;ABQABgAIAAAAIQC2gziS/gAAAOEBAAATAAAAAAAAAAAAAAAAAAAAAABbQ29udGVudF9UeXBlc10u&#10;eG1sUEsBAi0AFAAGAAgAAAAhADj9If/WAAAAlAEAAAsAAAAAAAAAAAAAAAAALwEAAF9yZWxzLy5y&#10;ZWxzUEsBAi0AFAAGAAgAAAAhAC/fYdteAgAAAgUAAA4AAAAAAAAAAAAAAAAALgIAAGRycy9lMm9E&#10;b2MueG1sUEsBAi0AFAAGAAgAAAAhAJ0JQCPgAAAADAEAAA8AAAAAAAAAAAAAAAAAuAQAAGRycy9k&#10;b3ducmV2LnhtbFBLBQYAAAAABAAEAPMAAADFBQAAAAA=&#10;" o:allowoverlap="f" fillcolor="#e9e9e9 [2995]" stroked="f" strokeweight="1pt">
              <v:fill color2="#919191 [2019]" rotate="t" colors="0 #ececec;.5 #e5e5e5;1 #bdbdbd" focus="100%" type="gradient">
                <o:fill v:ext="view" type="gradientUnscaled"/>
              </v:fill>
              <v:textbox>
                <w:txbxContent>
                  <w:p w14:paraId="125E91BC"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RESULTATS et DISCUSSION</w:t>
                    </w:r>
                  </w:p>
                </w:txbxContent>
              </v:textbox>
              <w10:wrap type="square" anchorx="margin" anchory="page"/>
            </v:rect>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FEFB2" w14:textId="77777777" w:rsidR="00502BB2" w:rsidRDefault="00502BB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6E4641" w14:textId="77777777" w:rsidR="00502BB2" w:rsidRDefault="0069123E">
    <w:pPr>
      <w:pStyle w:val="Header"/>
    </w:pPr>
    <w:r>
      <w:rPr>
        <w:noProof/>
      </w:rPr>
      <mc:AlternateContent>
        <mc:Choice Requires="wps">
          <w:drawing>
            <wp:anchor distT="0" distB="0" distL="118745" distR="118745" simplePos="0" relativeHeight="251663360" behindDoc="1" locked="0" layoutInCell="1" allowOverlap="0" wp14:anchorId="3FFE4CF6" wp14:editId="19DB4A98">
              <wp:simplePos x="0" y="0"/>
              <wp:positionH relativeFrom="margin">
                <wp:posOffset>-889000</wp:posOffset>
              </wp:positionH>
              <wp:positionV relativeFrom="page">
                <wp:posOffset>337185</wp:posOffset>
              </wp:positionV>
              <wp:extent cx="7521575" cy="394335"/>
              <wp:effectExtent l="0" t="0" r="3175" b="5715"/>
              <wp:wrapSquare wrapText="bothSides"/>
              <wp:docPr id="495051884" name="Rectangle 200"/>
              <wp:cNvGraphicFramePr/>
              <a:graphic xmlns:a="http://schemas.openxmlformats.org/drawingml/2006/main">
                <a:graphicData uri="http://schemas.microsoft.com/office/word/2010/wordprocessingShape">
                  <wps:wsp>
                    <wps:cNvSpPr/>
                    <wps:spPr>
                      <a:xfrm>
                        <a:off x="0" y="0"/>
                        <a:ext cx="7521575" cy="394335"/>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798F3563"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 xml:space="preserve"> DISCUSSION generale</w:t>
                          </w:r>
                        </w:p>
                        <w:p w14:paraId="060013B9" w14:textId="77777777" w:rsidR="00502BB2" w:rsidRDefault="00502BB2">
                          <w:pPr>
                            <w:pStyle w:val="Header"/>
                            <w:jc w:val="right"/>
                            <w:rPr>
                              <w:cap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FFE4CF6" id="_x0000_s1065" style="position:absolute;margin-left:-70pt;margin-top:26.55pt;width:592.25pt;height:31.05pt;z-index:-251653120;visibility:visible;mso-wrap-style:square;mso-wrap-distance-left:9.35pt;mso-wrap-distance-top:0;mso-wrap-distance-right:9.35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ZZXXgIAAAIFAAAOAAAAZHJzL2Uyb0RvYy54bWysVE1v2zAMvQ/YfxB0X2zno12DOkXQIsOA&#10;Yi3WDTsrslQbkEWNUuJkv36U7DjFltMwH2RKJB/JJ1K3d4fWsL1C34AteTHJOVNWQtXY15J//7b5&#10;8JEzH4SthAGrSn5Unt+t3r+77dxSTaEGUylkBGL9snMlr0Nwyyzzslat8BNwypJSA7Yi0BZfswpF&#10;R+ityaZ5fpV1gJVDkMp7On3olXyV8LVWMjxp7VVgpuSUW0grpnUb12x1K5avKFzdyCEN8Q9ZtKKx&#10;FHSEehBBsB02f0G1jUTwoMNEQpuB1o1UqQaqpsj/qOalFk6lWogc70aa/P+DlV/2L+4ZiYbO+aUn&#10;MVZx0NjGP+XHDoms40iWOgQm6fB6MS0W1wvOJOlmN/PZbBHZzM7eDn34pKBlUSg50mUkjsT+0Yfe&#10;9GQSgxkbVwubxpheG0+yc15JCkejeuuvSrOmokymCTW1jLo3yPaCLltIqWwoelUtKtUfL3L6hjxH&#10;j5S1sQQYkTXFH7GLPJ9dgjdhOqAM5tFTpYYbffNLjqe8+gpHjxQYbBid28YCXgIwVFTvrHv7E0c9&#10;M5GkcNgeiJqSX0XLeLKF6viMDKEfAO/kpqFLeRQ+PAukjqfZoCkOT7RoA13JYZA4qwF/XTqP9tSI&#10;pOWsowkquf+5E6g4M58ttehNMZ/HkUub+eJ6Sht8q9m+1dhdew90bwW9F04mMdoHcxI1QvuDhn0d&#10;o5JKWEmxSy4Dnjb3oZ9sei6kWq+TGY2ZE+HRvjgZwSPPFta7ALpJPXhmZ+CRBi31w/AoxEl+u09W&#10;56dr9RsAAP//AwBQSwMEFAAGAAgAAAAhAJ0JQCPgAAAADAEAAA8AAABkcnMvZG93bnJldi54bWxM&#10;j8FOwzAQRO9I/IO1SNxaO6mDqhCnQqgc4IBK4QM2sUki7HUUO23697gnuM1qRrNvqt3iLDuZKQye&#10;FGRrAcxQ6/VAnYKvz5fVFliISBqtJ6PgYgLs6tubCkvtz/RhTsfYsVRCoUQFfYxjyXloe+MwrP1o&#10;KHnffnIY0zl1XE94TuXO8lyIB+5woPShx9E896b9Oc5OAcr92+veHpppe5mR8o08vBdeqfu75ekR&#10;WDRL/AvDFT+hQ52YGj+TDswqWGVSpDFRQbHJgF0TQsoCWJNUVuTA64r/H1H/AgAA//8DAFBLAQIt&#10;ABQABgAIAAAAIQC2gziS/gAAAOEBAAATAAAAAAAAAAAAAAAAAAAAAABbQ29udGVudF9UeXBlc10u&#10;eG1sUEsBAi0AFAAGAAgAAAAhADj9If/WAAAAlAEAAAsAAAAAAAAAAAAAAAAALwEAAF9yZWxzLy5y&#10;ZWxzUEsBAi0AFAAGAAgAAAAhADRdlldeAgAAAgUAAA4AAAAAAAAAAAAAAAAALgIAAGRycy9lMm9E&#10;b2MueG1sUEsBAi0AFAAGAAgAAAAhAJ0JQCPgAAAADAEAAA8AAAAAAAAAAAAAAAAAuAQAAGRycy9k&#10;b3ducmV2LnhtbFBLBQYAAAAABAAEAPMAAADFBQAAAAA=&#10;" o:allowoverlap="f" fillcolor="#e9e9e9 [2995]" stroked="f" strokeweight="1pt">
              <v:fill color2="#919191 [2019]" rotate="t" colors="0 #ececec;.5 #e5e5e5;1 #bdbdbd" focus="100%" type="gradient">
                <o:fill v:ext="view" type="gradientUnscaled"/>
              </v:fill>
              <v:textbox>
                <w:txbxContent>
                  <w:p w14:paraId="798F3563"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 xml:space="preserve"> DISCUSSION generale</w:t>
                    </w:r>
                  </w:p>
                  <w:p w14:paraId="060013B9" w14:textId="77777777" w:rsidR="00502BB2" w:rsidRDefault="00502BB2">
                    <w:pPr>
                      <w:pStyle w:val="Header"/>
                      <w:jc w:val="right"/>
                      <w:rPr>
                        <w:caps/>
                        <w:color w:val="FFFFFF" w:themeColor="background1"/>
                      </w:rPr>
                    </w:pPr>
                  </w:p>
                </w:txbxContent>
              </v:textbox>
              <w10:wrap type="square" anchorx="margin" anchory="page"/>
            </v:rect>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8C726" w14:textId="77777777" w:rsidR="00502BB2" w:rsidRDefault="00502BB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4766" w14:textId="77777777" w:rsidR="00502BB2" w:rsidRDefault="0069123E">
    <w:pPr>
      <w:pStyle w:val="Header"/>
    </w:pPr>
    <w:r>
      <w:rPr>
        <w:noProof/>
      </w:rPr>
      <mc:AlternateContent>
        <mc:Choice Requires="wps">
          <w:drawing>
            <wp:anchor distT="0" distB="0" distL="118745" distR="118745" simplePos="0" relativeHeight="251666432" behindDoc="1" locked="0" layoutInCell="1" allowOverlap="0" wp14:anchorId="0CC958CD" wp14:editId="23607110">
              <wp:simplePos x="0" y="0"/>
              <wp:positionH relativeFrom="margin">
                <wp:posOffset>-889000</wp:posOffset>
              </wp:positionH>
              <wp:positionV relativeFrom="page">
                <wp:posOffset>337185</wp:posOffset>
              </wp:positionV>
              <wp:extent cx="7521575" cy="394335"/>
              <wp:effectExtent l="0" t="0" r="3175" b="5715"/>
              <wp:wrapSquare wrapText="bothSides"/>
              <wp:docPr id="1278154121" name="Rectangle 200"/>
              <wp:cNvGraphicFramePr/>
              <a:graphic xmlns:a="http://schemas.openxmlformats.org/drawingml/2006/main">
                <a:graphicData uri="http://schemas.microsoft.com/office/word/2010/wordprocessingShape">
                  <wps:wsp>
                    <wps:cNvSpPr/>
                    <wps:spPr>
                      <a:xfrm>
                        <a:off x="0" y="0"/>
                        <a:ext cx="7521575" cy="394335"/>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6C725589"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 xml:space="preserve"> CONCLUSION</w:t>
                          </w:r>
                        </w:p>
                        <w:p w14:paraId="79484800" w14:textId="77777777" w:rsidR="00502BB2" w:rsidRDefault="00502BB2">
                          <w:pPr>
                            <w:pStyle w:val="Header"/>
                            <w:jc w:val="right"/>
                            <w:rPr>
                              <w:cap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CC958CD" id="_x0000_s1066" style="position:absolute;margin-left:-70pt;margin-top:26.55pt;width:592.25pt;height:31.05pt;z-index:-251650048;visibility:visible;mso-wrap-style:square;mso-wrap-distance-left:9.35pt;mso-wrap-distance-top:0;mso-wrap-distance-right:9.35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zssXgIAAAIFAAAOAAAAZHJzL2Uyb0RvYy54bWysVE1v2zAMvQ/YfxB0X23nY12DOkWQosOA&#10;Yi3aDTsrshQbkEWNUuJkv36U7DjFltMwH2RKJB/JJ1K3d4fWsL1C34AteXGVc6ashKqx25J///bw&#10;4RNnPghbCQNWlfyoPL9bvn9327mFmkANplLICMT6RedKXofgFlnmZa1a4a/AKUtKDdiKQFvcZhWK&#10;jtBbk03y/GPWAVYOQSrv6fS+V/JlwtdayfCktVeBmZJTbiGtmNZNXLPlrVhsUbi6kUMa4h+yaEVj&#10;KegIdS+CYDts/oJqG4ngQYcrCW0GWjdSpRqomiL/o5rXWjiVaiFyvBtp8v8PVn7dv7pnJBo65xee&#10;xFjFQWMb/5QfOySyjiNZ6hCYpMPr+aSYX885k6Sb3sym03lkMzt7O/Ths4KWRaHkSJeROBL7Rx96&#10;05NJDGZsXC08NMb02niSnfNKUjga1Vu/KM2aijKZJNTUMmptkO0FXbaQUtlQ9KpaVKo/nuf0DXmO&#10;HilrYwkwImuKP2IXeT69BG/CZEAZzKOnSg03+uaXHE959RWOHikw2DA6t40FvARgqKjeWff2J456&#10;ZiJJ4bA5EDV0R9EynmygOj4jQ+gHwDv50NClPAofngVSx9Ns0BSHJ1q0ga7kMEic1YC/Lp1He2pE&#10;0nLW0QSV3P/cCVScmS+WWvSmmM3iyKXNbH49oQ2+1WzeauyuXQPdW0HvhZNJjPbBnESN0P6gYV/F&#10;qKQSVlLsksuAp8069JNNz4VUq1UyozFzIjzaVycjeOTZwmoXQDepB8/sDDzSoKV+GB6FOMlv98nq&#10;/HQtfwMAAP//AwBQSwMEFAAGAAgAAAAhAJ0JQCPgAAAADAEAAA8AAABkcnMvZG93bnJldi54bWxM&#10;j8FOwzAQRO9I/IO1SNxaO6mDqhCnQqgc4IBK4QM2sUki7HUUO23697gnuM1qRrNvqt3iLDuZKQye&#10;FGRrAcxQ6/VAnYKvz5fVFliISBqtJ6PgYgLs6tubCkvtz/RhTsfYsVRCoUQFfYxjyXloe+MwrP1o&#10;KHnffnIY0zl1XE94TuXO8lyIB+5woPShx9E896b9Oc5OAcr92+veHpppe5mR8o08vBdeqfu75ekR&#10;WDRL/AvDFT+hQ52YGj+TDswqWGVSpDFRQbHJgF0TQsoCWJNUVuTA64r/H1H/AgAA//8DAFBLAQIt&#10;ABQABgAIAAAAIQC2gziS/gAAAOEBAAATAAAAAAAAAAAAAAAAAAAAAABbQ29udGVudF9UeXBlc10u&#10;eG1sUEsBAi0AFAAGAAgAAAAhADj9If/WAAAAlAEAAAsAAAAAAAAAAAAAAAAALwEAAF9yZWxzLy5y&#10;ZWxzUEsBAi0AFAAGAAgAAAAhAD0jOyxeAgAAAgUAAA4AAAAAAAAAAAAAAAAALgIAAGRycy9lMm9E&#10;b2MueG1sUEsBAi0AFAAGAAgAAAAhAJ0JQCPgAAAADAEAAA8AAAAAAAAAAAAAAAAAuAQAAGRycy9k&#10;b3ducmV2LnhtbFBLBQYAAAAABAAEAPMAAADFBQAAAAA=&#10;" o:allowoverlap="f" fillcolor="#e9e9e9 [2995]" stroked="f" strokeweight="1pt">
              <v:fill color2="#919191 [2019]" rotate="t" colors="0 #ececec;.5 #e5e5e5;1 #bdbdbd" focus="100%" type="gradient">
                <o:fill v:ext="view" type="gradientUnscaled"/>
              </v:fill>
              <v:textbox>
                <w:txbxContent>
                  <w:p w14:paraId="6C725589"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 xml:space="preserve"> CONCLUSION</w:t>
                    </w:r>
                  </w:p>
                  <w:p w14:paraId="79484800" w14:textId="77777777" w:rsidR="00502BB2" w:rsidRDefault="00502BB2">
                    <w:pPr>
                      <w:pStyle w:val="Header"/>
                      <w:jc w:val="right"/>
                      <w:rPr>
                        <w:caps/>
                        <w:color w:val="FFFFFF" w:themeColor="background1"/>
                      </w:rPr>
                    </w:pPr>
                  </w:p>
                </w:txbxContent>
              </v:textbox>
              <w10:wrap type="square" anchorx="margin" anchory="page"/>
            </v:rect>
          </w:pict>
        </mc:Fallback>
      </mc:AlternateConten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9AA0E" w14:textId="77777777" w:rsidR="00502BB2" w:rsidRDefault="00502BB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DAD33" w14:textId="77777777" w:rsidR="00502BB2" w:rsidRDefault="0069123E">
    <w:pPr>
      <w:pStyle w:val="Header"/>
    </w:pPr>
    <w:r>
      <w:rPr>
        <w:noProof/>
      </w:rPr>
      <mc:AlternateContent>
        <mc:Choice Requires="wps">
          <w:drawing>
            <wp:anchor distT="0" distB="0" distL="118745" distR="118745" simplePos="0" relativeHeight="251670528" behindDoc="1" locked="0" layoutInCell="1" allowOverlap="0" wp14:anchorId="45DE3C51" wp14:editId="79BCD088">
              <wp:simplePos x="0" y="0"/>
              <wp:positionH relativeFrom="margin">
                <wp:posOffset>-1242695</wp:posOffset>
              </wp:positionH>
              <wp:positionV relativeFrom="page">
                <wp:posOffset>406400</wp:posOffset>
              </wp:positionV>
              <wp:extent cx="7670800" cy="376555"/>
              <wp:effectExtent l="0" t="0" r="6350" b="4445"/>
              <wp:wrapSquare wrapText="bothSides"/>
              <wp:docPr id="1048706468" name="Rectangle 200"/>
              <wp:cNvGraphicFramePr/>
              <a:graphic xmlns:a="http://schemas.openxmlformats.org/drawingml/2006/main">
                <a:graphicData uri="http://schemas.microsoft.com/office/word/2010/wordprocessingShape">
                  <wps:wsp>
                    <wps:cNvSpPr/>
                    <wps:spPr>
                      <a:xfrm>
                        <a:off x="0" y="0"/>
                        <a:ext cx="7670800" cy="376555"/>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sdt>
                          <w:sdtPr>
                            <w:rPr>
                              <w:rFonts w:ascii="Segoe Print" w:hAnsi="Segoe Print"/>
                              <w:b/>
                              <w:bCs/>
                              <w:caps/>
                              <w:color w:val="000000" w:themeColor="text1"/>
                              <w:sz w:val="32"/>
                              <w:szCs w:val="32"/>
                            </w:rPr>
                            <w:alias w:val="Title"/>
                            <w:id w:val="1261410941"/>
                            <w:dataBinding w:prefixMappings="xmlns:ns0='http://purl.org/dc/elements/1.1/' xmlns:ns1='http://schemas.openxmlformats.org/package/2006/metadata/core-properties' " w:xpath="/ns1:coreProperties[1]/ns0:title[1]" w:storeItemID="{6C3C8BC8-F283-45AE-878A-BAB7291924A1}"/>
                            <w:text/>
                          </w:sdtPr>
                          <w:sdtEndPr/>
                          <w:sdtContent>
                            <w:p w14:paraId="2AF2AD6F" w14:textId="1999A0D4" w:rsidR="00502BB2" w:rsidRDefault="00DC455F">
                              <w:pPr>
                                <w:pStyle w:val="Header"/>
                                <w:jc w:val="right"/>
                                <w:rPr>
                                  <w:rFonts w:ascii="Segoe Fluent Icons" w:hAnsi="Segoe Fluent Icons"/>
                                  <w:caps/>
                                </w:rPr>
                              </w:pPr>
                              <w:r>
                                <w:rPr>
                                  <w:rFonts w:ascii="Segoe Print" w:hAnsi="Segoe Print"/>
                                  <w:b/>
                                  <w:bCs/>
                                  <w:caps/>
                                  <w:color w:val="000000" w:themeColor="text1"/>
                                  <w:sz w:val="32"/>
                                  <w:szCs w:val="32"/>
                                </w:rPr>
                                <w:t>INTRODUCTION</w:t>
                              </w:r>
                            </w:p>
                          </w:sdtContent>
                        </w:sdt>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5DE3C51" id="_x0000_s1067" style="position:absolute;margin-left:-97.85pt;margin-top:32pt;width:604pt;height:29.65pt;z-index:-251645952;visibility:visible;mso-wrap-style:square;mso-wrap-distance-left:9.35pt;mso-wrap-distance-top:0;mso-wrap-distance-right:9.35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M1+XgIAAAIFAAAOAAAAZHJzL2Uyb0RvYy54bWysVE1v2zAMvQ/YfxB0X+ykzceCOkXQosOA&#10;Yg2WDTsrslQbkEWNUuJkv36U7DjFltMwH2RKJB/JJ1J398fGsINCX4Mt+HiUc6ashLK2rwX//u3p&#10;w4IzH4QthQGrCn5Snt+v3r+7a91STaACUypkBGL9snUFr0JwyyzzslKN8CNwypJSAzYi0BZfsxJF&#10;S+iNySZ5PstawNIhSOU9nT52Sr5K+ForGV609iowU3DKLaQV07qLa7a6E8tXFK6qZZ+G+IcsGlFb&#10;CjpAPYog2B7rv6CaWiJ40GEkoclA61qqVANVM87/qGZbCadSLUSOdwNN/v/Byi+Hrdsg0dA6v/Qk&#10;xiqOGpv4p/zYMZF1GshSx8AkHc5n83yRE6eSdDfz2XQ6jWxmF2+HPnxS0LAoFBzpMhJH4vDsQ2d6&#10;NonBjI2rhafamE4bT7JLXkkKJ6M6669Ks7qkTCYJNbWMejDIDoIuW0ipbBh3qkqUqjue5vT1eQ4e&#10;KWtjCTAia4o/YI/z/OYavAmTHqU3j54qNdzgm19zPOfVVTh4pMBgw+Dc1BbwGoChojpn3dmfOeqY&#10;iSSF4+5I1BR8ES3jyQ7K0wYZQjcA3smnmi7lWfiwEUgdT/dIUxxeaNEG2oJDL3FWAf66dh7tqRFJ&#10;y1lLE1Rw/3MvUHFmPltq0Y/j29s4cmlzO51PaINvNbu3GrtvHoDubUzvhZNJjPbBnEWN0PygYV/H&#10;qKQSVlLsgsuA581D6Cabngup1utkRmPmRHi2WycjeOTZwnofQNepBy/s9DzSoKV+6B+FOMlv98nq&#10;8nStfgMAAP//AwBQSwMEFAAGAAgAAAAhAH2FMongAAAADAEAAA8AAABkcnMvZG93bnJldi54bWxM&#10;j8tOwzAQRfdI/IM1SOxa59VSQpwKobKABSqFD5jEJomwx5HttOnf467obkZzdOfcajsbzY7K+cGS&#10;gHSZAFPUWjlQJ+D763WxAeYDkkRtSQk4Kw/b+vamwlLaE32q4yF0LIaQL1FAH8JYcu7bXhn0Szsq&#10;ircf6wyGuLqOS4enGG40z5JkzQ0OFD/0OKqXXrW/h8kIwGL3/rbT+8ZtzhNSlhf7j5UV4v5ufn4C&#10;FtQc/mG46Ed1qKNTYyeSnmkBi/Rx9RBZAesilroQSZrlwJo4ZXkOvK74dYn6DwAA//8DAFBLAQIt&#10;ABQABgAIAAAAIQC2gziS/gAAAOEBAAATAAAAAAAAAAAAAAAAAAAAAABbQ29udGVudF9UeXBlc10u&#10;eG1sUEsBAi0AFAAGAAgAAAAhADj9If/WAAAAlAEAAAsAAAAAAAAAAAAAAAAALwEAAF9yZWxzLy5y&#10;ZWxzUEsBAi0AFAAGAAgAAAAhAGq4zX5eAgAAAgUAAA4AAAAAAAAAAAAAAAAALgIAAGRycy9lMm9E&#10;b2MueG1sUEsBAi0AFAAGAAgAAAAhAH2FMongAAAADAEAAA8AAAAAAAAAAAAAAAAAuAQAAGRycy9k&#10;b3ducmV2LnhtbFBLBQYAAAAABAAEAPMAAADFBQAAAAA=&#10;" o:allowoverlap="f" fillcolor="#e9e9e9 [2995]" stroked="f" strokeweight="1pt">
              <v:fill color2="#919191 [2019]" rotate="t" colors="0 #ececec;.5 #e5e5e5;1 #bdbdbd" focus="100%" type="gradient">
                <o:fill v:ext="view" type="gradientUnscaled"/>
              </v:fill>
              <v:textbox>
                <w:txbxContent>
                  <w:sdt>
                    <w:sdtPr>
                      <w:rPr>
                        <w:rFonts w:ascii="Segoe Print" w:hAnsi="Segoe Print"/>
                        <w:b/>
                        <w:bCs/>
                        <w:caps/>
                        <w:color w:val="000000" w:themeColor="text1"/>
                        <w:sz w:val="32"/>
                        <w:szCs w:val="32"/>
                      </w:rPr>
                      <w:alias w:val="Title"/>
                      <w:id w:val="1261410941"/>
                      <w:dataBinding w:prefixMappings="xmlns:ns0='http://purl.org/dc/elements/1.1/' xmlns:ns1='http://schemas.openxmlformats.org/package/2006/metadata/core-properties' " w:xpath="/ns1:coreProperties[1]/ns0:title[1]" w:storeItemID="{6C3C8BC8-F283-45AE-878A-BAB7291924A1}"/>
                      <w:text/>
                    </w:sdtPr>
                    <w:sdtEndPr/>
                    <w:sdtContent>
                      <w:p w14:paraId="2AF2AD6F" w14:textId="1999A0D4" w:rsidR="00502BB2" w:rsidRDefault="00DC455F">
                        <w:pPr>
                          <w:pStyle w:val="Header"/>
                          <w:jc w:val="right"/>
                          <w:rPr>
                            <w:rFonts w:ascii="Segoe Fluent Icons" w:hAnsi="Segoe Fluent Icons"/>
                            <w:caps/>
                          </w:rPr>
                        </w:pPr>
                        <w:r>
                          <w:rPr>
                            <w:rFonts w:ascii="Segoe Print" w:hAnsi="Segoe Print"/>
                            <w:b/>
                            <w:bCs/>
                            <w:caps/>
                            <w:color w:val="000000" w:themeColor="text1"/>
                            <w:sz w:val="32"/>
                            <w:szCs w:val="32"/>
                          </w:rPr>
                          <w:t>INTRODUCTION</w:t>
                        </w:r>
                      </w:p>
                    </w:sdtContent>
                  </w:sdt>
                </w:txbxContent>
              </v:textbox>
              <w10:wrap type="square" anchorx="margin" anchory="page"/>
            </v:rect>
          </w:pict>
        </mc:Fallback>
      </mc:AlternateConten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DE336" w14:textId="77777777" w:rsidR="00502BB2" w:rsidRDefault="00502BB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9AFF6" w14:textId="77777777" w:rsidR="00502BB2" w:rsidRDefault="0069123E">
    <w:pPr>
      <w:pStyle w:val="Header"/>
    </w:pPr>
    <w:r>
      <w:rPr>
        <w:noProof/>
      </w:rPr>
      <mc:AlternateContent>
        <mc:Choice Requires="wps">
          <w:drawing>
            <wp:anchor distT="0" distB="0" distL="118745" distR="118745" simplePos="0" relativeHeight="251668480" behindDoc="1" locked="0" layoutInCell="1" allowOverlap="0" wp14:anchorId="5B98DAD4" wp14:editId="120FE6BD">
              <wp:simplePos x="0" y="0"/>
              <wp:positionH relativeFrom="margin">
                <wp:posOffset>-889000</wp:posOffset>
              </wp:positionH>
              <wp:positionV relativeFrom="page">
                <wp:posOffset>337185</wp:posOffset>
              </wp:positionV>
              <wp:extent cx="7521575" cy="394335"/>
              <wp:effectExtent l="0" t="0" r="3175" b="5715"/>
              <wp:wrapSquare wrapText="bothSides"/>
              <wp:docPr id="41556344" name="Rectangle 200"/>
              <wp:cNvGraphicFramePr/>
              <a:graphic xmlns:a="http://schemas.openxmlformats.org/drawingml/2006/main">
                <a:graphicData uri="http://schemas.microsoft.com/office/word/2010/wordprocessingShape">
                  <wps:wsp>
                    <wps:cNvSpPr/>
                    <wps:spPr>
                      <a:xfrm>
                        <a:off x="0" y="0"/>
                        <a:ext cx="7521575" cy="394335"/>
                      </a:xfrm>
                      <a:prstGeom prst="rect">
                        <a:avLst/>
                      </a:prstGeom>
                      <a:ln>
                        <a:noFill/>
                      </a:ln>
                    </wps:spPr>
                    <wps:style>
                      <a:lnRef idx="2">
                        <a:schemeClr val="accent1">
                          <a:shade val="50000"/>
                        </a:schemeClr>
                      </a:lnRef>
                      <a:fillRef idx="1003">
                        <a:schemeClr val="lt2"/>
                      </a:fillRef>
                      <a:effectRef idx="0">
                        <a:schemeClr val="accent1"/>
                      </a:effectRef>
                      <a:fontRef idx="minor">
                        <a:schemeClr val="lt1"/>
                      </a:fontRef>
                    </wps:style>
                    <wps:txbx>
                      <w:txbxContent>
                        <w:p w14:paraId="476EC0B8"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 xml:space="preserve"> ANNEXEs</w:t>
                          </w:r>
                        </w:p>
                        <w:p w14:paraId="7EE42842" w14:textId="77777777" w:rsidR="00502BB2" w:rsidRDefault="00502BB2">
                          <w:pPr>
                            <w:pStyle w:val="Header"/>
                            <w:jc w:val="right"/>
                            <w:rPr>
                              <w:caps/>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B98DAD4" id="_x0000_s1068" style="position:absolute;margin-left:-70pt;margin-top:26.55pt;width:592.25pt;height:31.05pt;z-index:-251648000;visibility:visible;mso-wrap-style:square;mso-wrap-distance-left:9.35pt;mso-wrap-distance-top:0;mso-wrap-distance-right:9.35pt;mso-wrap-distance-bottom:0;mso-position-horizontal:absolute;mso-position-horizontal-relative:margin;mso-position-vertical:absolute;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3SyFXgIAAAIFAAAOAAAAZHJzL2Uyb0RvYy54bWysVE1v2zAMvQ/YfxB0X23nY12DOEXQosOA&#10;Yi3aDTsrshQbkEWNUuJkv36U7DjFltMwH2RKJB/JJ1LL20Nr2F6hb8CWvLjKOVNWQtXYbcm/f3v4&#10;8IkzH4SthAGrSn5Unt+u3r9bdm6hJlCDqRQyArF+0bmS1yG4RZZ5WatW+CtwypJSA7Yi0Ba3WYWi&#10;I/TWZJM8/5h1gJVDkMp7Or3vlXyV8LVWMjxp7VVgpuSUW0grpnUT12y1FIstClc3ckhD/EMWrWgs&#10;BR2h7kUQbIfNX1BtIxE86HAloc1A60aqVANVU+R/VPNaC6dSLUSOdyNN/v/Byq/7V/eMREPn/MKT&#10;GKs4aGzjn/Jjh0TWcSRLHQKTdHg9nxTz6zlnknTTm9l0Oo9sZmdvhz58VtCyKJQc6TISR2L/6ENv&#10;ejKJwYyNq4WHxpheG0+yc15JCkejeusXpVlTUSaThJpaRt0ZZHtBly2kVDYUvaoWleqP5zl9Q56j&#10;R8raWAKMyJrij9hFnk8vwZswGVAG8+ipUsONvvklx1NefYWjRwoMNozObWMBLwEYKqp31r39iaOe&#10;mUhSOGwORE3Jb6JlPNlAdXxGhtAPgHfyoaFLeRQ+PAukjqfZoCkOT7RoA13JYZA4qwF/XTqP9tSI&#10;pOWsowkquf+5E6g4M18stehNMZvFkUub2fx6Qht8q9m81dhdewd0bwW9F04mMdoHcxI1QvuDhn0d&#10;o5JKWEmxSy4DnjZ3oZ9sei6kWq+TGY2ZE+HRvjoZwSPPFta7ALpJPXhmZ+CRBi31w/AoxEl+u09W&#10;56dr9RsAAP//AwBQSwMEFAAGAAgAAAAhAJ0JQCPgAAAADAEAAA8AAABkcnMvZG93bnJldi54bWxM&#10;j8FOwzAQRO9I/IO1SNxaO6mDqhCnQqgc4IBK4QM2sUki7HUUO23697gnuM1qRrNvqt3iLDuZKQye&#10;FGRrAcxQ6/VAnYKvz5fVFliISBqtJ6PgYgLs6tubCkvtz/RhTsfYsVRCoUQFfYxjyXloe+MwrP1o&#10;KHnffnIY0zl1XE94TuXO8lyIB+5woPShx9E896b9Oc5OAcr92+veHpppe5mR8o08vBdeqfu75ekR&#10;WDRL/AvDFT+hQ52YGj+TDswqWGVSpDFRQbHJgF0TQsoCWJNUVuTA64r/H1H/AgAA//8DAFBLAQIt&#10;ABQABgAIAAAAIQC2gziS/gAAAOEBAAATAAAAAAAAAAAAAAAAAAAAAABbQ29udGVudF9UeXBlc10u&#10;eG1sUEsBAi0AFAAGAAgAAAAhADj9If/WAAAAlAEAAAsAAAAAAAAAAAAAAAAALwEAAF9yZWxzLy5y&#10;ZWxzUEsBAi0AFAAGAAgAAAAhAIDdLIVeAgAAAgUAAA4AAAAAAAAAAAAAAAAALgIAAGRycy9lMm9E&#10;b2MueG1sUEsBAi0AFAAGAAgAAAAhAJ0JQCPgAAAADAEAAA8AAAAAAAAAAAAAAAAAuAQAAGRycy9k&#10;b3ducmV2LnhtbFBLBQYAAAAABAAEAPMAAADFBQAAAAA=&#10;" o:allowoverlap="f" fillcolor="#e9e9e9 [2995]" stroked="f" strokeweight="1pt">
              <v:fill color2="#919191 [2019]" rotate="t" colors="0 #ececec;.5 #e5e5e5;1 #bdbdbd" focus="100%" type="gradient">
                <o:fill v:ext="view" type="gradientUnscaled"/>
              </v:fill>
              <v:textbox>
                <w:txbxContent>
                  <w:p w14:paraId="476EC0B8" w14:textId="77777777" w:rsidR="00502BB2" w:rsidRDefault="0069123E">
                    <w:pPr>
                      <w:pStyle w:val="Header"/>
                      <w:jc w:val="right"/>
                      <w:rPr>
                        <w:caps/>
                        <w:color w:val="FFFFFF" w:themeColor="background1"/>
                      </w:rPr>
                    </w:pPr>
                    <w:r>
                      <w:rPr>
                        <w:rFonts w:ascii="Segoe Print" w:hAnsi="Segoe Print"/>
                        <w:b/>
                        <w:bCs/>
                        <w:i/>
                        <w:iCs/>
                        <w:caps/>
                        <w:color w:val="262626" w:themeColor="text1" w:themeTint="D9"/>
                        <w:sz w:val="32"/>
                        <w:szCs w:val="32"/>
                      </w:rPr>
                      <w:t xml:space="preserve"> ANNEXEs</w:t>
                    </w:r>
                  </w:p>
                  <w:p w14:paraId="7EE42842" w14:textId="77777777" w:rsidR="00502BB2" w:rsidRDefault="00502BB2">
                    <w:pPr>
                      <w:pStyle w:val="Header"/>
                      <w:jc w:val="right"/>
                      <w:rPr>
                        <w:caps/>
                        <w:color w:val="FFFFFF" w:themeColor="background1"/>
                      </w:rPr>
                    </w:pPr>
                  </w:p>
                </w:txbxContent>
              </v:textbox>
              <w10:wrap type="square" anchorx="margin"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7803"/>
    <w:multiLevelType w:val="multilevel"/>
    <w:tmpl w:val="00F57803"/>
    <w:lvl w:ilvl="0">
      <w:start w:val="1"/>
      <w:numFmt w:val="lowerLetter"/>
      <w:lvlText w:val="%1."/>
      <w:lvlJc w:val="left"/>
      <w:pPr>
        <w:ind w:left="720" w:hanging="360"/>
      </w:pPr>
      <w:rPr>
        <w:rFonts w:hint="default"/>
        <w:b/>
        <w:bCs/>
        <w:color w:val="0D0D0D" w:themeColor="text1" w:themeTint="F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6052D58"/>
    <w:multiLevelType w:val="multilevel"/>
    <w:tmpl w:val="06052D58"/>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5064B4"/>
    <w:multiLevelType w:val="multilevel"/>
    <w:tmpl w:val="095064B4"/>
    <w:lvl w:ilvl="0">
      <w:start w:val="1"/>
      <w:numFmt w:val="upperRoman"/>
      <w:lvlText w:val="%1."/>
      <w:lvlJc w:val="left"/>
      <w:pPr>
        <w:ind w:left="1570" w:hanging="720"/>
      </w:pPr>
      <w:rPr>
        <w:rFonts w:hint="default"/>
        <w:sz w:val="32"/>
      </w:rPr>
    </w:lvl>
    <w:lvl w:ilvl="1">
      <w:start w:val="1"/>
      <w:numFmt w:val="lowerLetter"/>
      <w:lvlText w:val="%2."/>
      <w:lvlJc w:val="left"/>
      <w:pPr>
        <w:ind w:left="1930" w:hanging="360"/>
      </w:pPr>
    </w:lvl>
    <w:lvl w:ilvl="2">
      <w:start w:val="1"/>
      <w:numFmt w:val="lowerRoman"/>
      <w:lvlText w:val="%3."/>
      <w:lvlJc w:val="right"/>
      <w:pPr>
        <w:ind w:left="2650" w:hanging="180"/>
      </w:pPr>
    </w:lvl>
    <w:lvl w:ilvl="3">
      <w:start w:val="1"/>
      <w:numFmt w:val="decimal"/>
      <w:lvlText w:val="%4."/>
      <w:lvlJc w:val="left"/>
      <w:pPr>
        <w:ind w:left="3370" w:hanging="360"/>
      </w:pPr>
    </w:lvl>
    <w:lvl w:ilvl="4">
      <w:start w:val="1"/>
      <w:numFmt w:val="lowerLetter"/>
      <w:lvlText w:val="%5."/>
      <w:lvlJc w:val="left"/>
      <w:pPr>
        <w:ind w:left="4090" w:hanging="360"/>
      </w:pPr>
    </w:lvl>
    <w:lvl w:ilvl="5">
      <w:start w:val="1"/>
      <w:numFmt w:val="lowerRoman"/>
      <w:lvlText w:val="%6."/>
      <w:lvlJc w:val="right"/>
      <w:pPr>
        <w:ind w:left="4810" w:hanging="180"/>
      </w:pPr>
    </w:lvl>
    <w:lvl w:ilvl="6">
      <w:start w:val="1"/>
      <w:numFmt w:val="decimal"/>
      <w:lvlText w:val="%7."/>
      <w:lvlJc w:val="left"/>
      <w:pPr>
        <w:ind w:left="5530" w:hanging="360"/>
      </w:pPr>
    </w:lvl>
    <w:lvl w:ilvl="7">
      <w:start w:val="1"/>
      <w:numFmt w:val="lowerLetter"/>
      <w:lvlText w:val="%8."/>
      <w:lvlJc w:val="left"/>
      <w:pPr>
        <w:ind w:left="6250" w:hanging="360"/>
      </w:pPr>
    </w:lvl>
    <w:lvl w:ilvl="8">
      <w:start w:val="1"/>
      <w:numFmt w:val="lowerRoman"/>
      <w:lvlText w:val="%9."/>
      <w:lvlJc w:val="right"/>
      <w:pPr>
        <w:ind w:left="6970" w:hanging="180"/>
      </w:pPr>
    </w:lvl>
  </w:abstractNum>
  <w:abstractNum w:abstractNumId="3" w15:restartNumberingAfterBreak="0">
    <w:nsid w:val="0D4548AA"/>
    <w:multiLevelType w:val="multilevel"/>
    <w:tmpl w:val="0D4548A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116804AD"/>
    <w:multiLevelType w:val="multilevel"/>
    <w:tmpl w:val="116804AD"/>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5574C5"/>
    <w:multiLevelType w:val="multilevel"/>
    <w:tmpl w:val="125574C5"/>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12368D3"/>
    <w:multiLevelType w:val="multilevel"/>
    <w:tmpl w:val="212368D3"/>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22C518A6"/>
    <w:multiLevelType w:val="multilevel"/>
    <w:tmpl w:val="22C518A6"/>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AE07CC7"/>
    <w:multiLevelType w:val="multilevel"/>
    <w:tmpl w:val="2AE07CC7"/>
    <w:lvl w:ilvl="0">
      <w:start w:val="1"/>
      <w:numFmt w:val="decimal"/>
      <w:lvlText w:val="%1."/>
      <w:lvlJc w:val="left"/>
      <w:pPr>
        <w:ind w:left="360" w:hanging="360"/>
      </w:pPr>
      <w:rPr>
        <w:rFonts w:hint="default"/>
      </w:rPr>
    </w:lvl>
    <w:lvl w:ilvl="1">
      <w:start w:val="1"/>
      <w:numFmt w:val="decimal"/>
      <w:isLgl/>
      <w:lvlText w:val="%1.%2."/>
      <w:lvlJc w:val="left"/>
      <w:pPr>
        <w:ind w:left="861" w:hanging="720"/>
      </w:pPr>
      <w:rPr>
        <w:rFonts w:hint="default"/>
      </w:rPr>
    </w:lvl>
    <w:lvl w:ilvl="2">
      <w:start w:val="1"/>
      <w:numFmt w:val="decimal"/>
      <w:isLgl/>
      <w:lvlText w:val="%1.%2.%3."/>
      <w:lvlJc w:val="left"/>
      <w:pPr>
        <w:ind w:left="861" w:hanging="720"/>
      </w:pPr>
      <w:rPr>
        <w:rFonts w:hint="default"/>
      </w:rPr>
    </w:lvl>
    <w:lvl w:ilvl="3">
      <w:start w:val="1"/>
      <w:numFmt w:val="decimal"/>
      <w:isLgl/>
      <w:lvlText w:val="%1.%2.%3.%4."/>
      <w:lvlJc w:val="left"/>
      <w:pPr>
        <w:ind w:left="1221" w:hanging="1080"/>
      </w:pPr>
      <w:rPr>
        <w:rFonts w:hint="default"/>
      </w:rPr>
    </w:lvl>
    <w:lvl w:ilvl="4">
      <w:start w:val="1"/>
      <w:numFmt w:val="decimal"/>
      <w:isLgl/>
      <w:lvlText w:val="%1.%2.%3.%4.%5."/>
      <w:lvlJc w:val="left"/>
      <w:pPr>
        <w:ind w:left="1221" w:hanging="1080"/>
      </w:pPr>
      <w:rPr>
        <w:rFonts w:hint="default"/>
      </w:rPr>
    </w:lvl>
    <w:lvl w:ilvl="5">
      <w:start w:val="1"/>
      <w:numFmt w:val="decimal"/>
      <w:isLgl/>
      <w:lvlText w:val="%1.%2.%3.%4.%5.%6."/>
      <w:lvlJc w:val="left"/>
      <w:pPr>
        <w:ind w:left="1581" w:hanging="1440"/>
      </w:pPr>
      <w:rPr>
        <w:rFonts w:hint="default"/>
      </w:rPr>
    </w:lvl>
    <w:lvl w:ilvl="6">
      <w:start w:val="1"/>
      <w:numFmt w:val="decimal"/>
      <w:isLgl/>
      <w:lvlText w:val="%1.%2.%3.%4.%5.%6.%7."/>
      <w:lvlJc w:val="left"/>
      <w:pPr>
        <w:ind w:left="1581" w:hanging="1440"/>
      </w:pPr>
      <w:rPr>
        <w:rFonts w:hint="default"/>
      </w:rPr>
    </w:lvl>
    <w:lvl w:ilvl="7">
      <w:start w:val="1"/>
      <w:numFmt w:val="decimal"/>
      <w:isLgl/>
      <w:lvlText w:val="%1.%2.%3.%4.%5.%6.%7.%8."/>
      <w:lvlJc w:val="left"/>
      <w:pPr>
        <w:ind w:left="1941" w:hanging="1800"/>
      </w:pPr>
      <w:rPr>
        <w:rFonts w:hint="default"/>
      </w:rPr>
    </w:lvl>
    <w:lvl w:ilvl="8">
      <w:start w:val="1"/>
      <w:numFmt w:val="decimal"/>
      <w:isLgl/>
      <w:lvlText w:val="%1.%2.%3.%4.%5.%6.%7.%8.%9."/>
      <w:lvlJc w:val="left"/>
      <w:pPr>
        <w:ind w:left="1941" w:hanging="1800"/>
      </w:pPr>
      <w:rPr>
        <w:rFonts w:hint="default"/>
      </w:rPr>
    </w:lvl>
  </w:abstractNum>
  <w:abstractNum w:abstractNumId="9" w15:restartNumberingAfterBreak="0">
    <w:nsid w:val="2B6508C2"/>
    <w:multiLevelType w:val="multilevel"/>
    <w:tmpl w:val="2B6508C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7B43B57"/>
    <w:multiLevelType w:val="multilevel"/>
    <w:tmpl w:val="37B43B57"/>
    <w:lvl w:ilvl="0">
      <w:start w:val="1"/>
      <w:numFmt w:val="lowerLetter"/>
      <w:lvlText w:val="%1."/>
      <w:lvlJc w:val="left"/>
      <w:pPr>
        <w:ind w:left="501" w:hanging="360"/>
      </w:pPr>
      <w:rPr>
        <w:rFonts w:hint="default"/>
      </w:rPr>
    </w:lvl>
    <w:lvl w:ilvl="1">
      <w:start w:val="1"/>
      <w:numFmt w:val="lowerLetter"/>
      <w:lvlText w:val="%2."/>
      <w:lvlJc w:val="left"/>
      <w:pPr>
        <w:ind w:left="1221" w:hanging="360"/>
      </w:pPr>
    </w:lvl>
    <w:lvl w:ilvl="2">
      <w:start w:val="1"/>
      <w:numFmt w:val="lowerRoman"/>
      <w:lvlText w:val="%3."/>
      <w:lvlJc w:val="right"/>
      <w:pPr>
        <w:ind w:left="1941" w:hanging="180"/>
      </w:pPr>
    </w:lvl>
    <w:lvl w:ilvl="3">
      <w:start w:val="1"/>
      <w:numFmt w:val="decimal"/>
      <w:lvlText w:val="%4."/>
      <w:lvlJc w:val="left"/>
      <w:pPr>
        <w:ind w:left="2661" w:hanging="360"/>
      </w:pPr>
    </w:lvl>
    <w:lvl w:ilvl="4">
      <w:start w:val="1"/>
      <w:numFmt w:val="lowerLetter"/>
      <w:lvlText w:val="%5."/>
      <w:lvlJc w:val="left"/>
      <w:pPr>
        <w:ind w:left="3381" w:hanging="360"/>
      </w:pPr>
    </w:lvl>
    <w:lvl w:ilvl="5">
      <w:start w:val="1"/>
      <w:numFmt w:val="lowerRoman"/>
      <w:lvlText w:val="%6."/>
      <w:lvlJc w:val="right"/>
      <w:pPr>
        <w:ind w:left="4101" w:hanging="180"/>
      </w:pPr>
    </w:lvl>
    <w:lvl w:ilvl="6">
      <w:start w:val="1"/>
      <w:numFmt w:val="decimal"/>
      <w:lvlText w:val="%7."/>
      <w:lvlJc w:val="left"/>
      <w:pPr>
        <w:ind w:left="4821" w:hanging="360"/>
      </w:pPr>
    </w:lvl>
    <w:lvl w:ilvl="7">
      <w:start w:val="1"/>
      <w:numFmt w:val="lowerLetter"/>
      <w:lvlText w:val="%8."/>
      <w:lvlJc w:val="left"/>
      <w:pPr>
        <w:ind w:left="5541" w:hanging="360"/>
      </w:pPr>
    </w:lvl>
    <w:lvl w:ilvl="8">
      <w:start w:val="1"/>
      <w:numFmt w:val="lowerRoman"/>
      <w:lvlText w:val="%9."/>
      <w:lvlJc w:val="right"/>
      <w:pPr>
        <w:ind w:left="6261" w:hanging="180"/>
      </w:pPr>
    </w:lvl>
  </w:abstractNum>
  <w:abstractNum w:abstractNumId="11" w15:restartNumberingAfterBreak="0">
    <w:nsid w:val="3A0B0668"/>
    <w:multiLevelType w:val="multilevel"/>
    <w:tmpl w:val="3A0B0668"/>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A3371EB"/>
    <w:multiLevelType w:val="multilevel"/>
    <w:tmpl w:val="3A3371EB"/>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15:restartNumberingAfterBreak="0">
    <w:nsid w:val="3DE5377B"/>
    <w:multiLevelType w:val="multilevel"/>
    <w:tmpl w:val="3DE5377B"/>
    <w:lvl w:ilvl="0">
      <w:start w:val="1"/>
      <w:numFmt w:val="bullet"/>
      <w:lvlText w:val=""/>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F793925"/>
    <w:multiLevelType w:val="multilevel"/>
    <w:tmpl w:val="3F793925"/>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7D1E0E"/>
    <w:multiLevelType w:val="multilevel"/>
    <w:tmpl w:val="417D1E0E"/>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6" w15:restartNumberingAfterBreak="0">
    <w:nsid w:val="49601961"/>
    <w:multiLevelType w:val="multilevel"/>
    <w:tmpl w:val="49601961"/>
    <w:lvl w:ilvl="0">
      <w:start w:val="1"/>
      <w:numFmt w:val="bullet"/>
      <w:lvlText w:val=""/>
      <w:lvlJc w:val="left"/>
      <w:pPr>
        <w:ind w:left="36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4B70499D"/>
    <w:multiLevelType w:val="multilevel"/>
    <w:tmpl w:val="4B7049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FDA26C7"/>
    <w:multiLevelType w:val="multilevel"/>
    <w:tmpl w:val="4FDA26C7"/>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9" w15:restartNumberingAfterBreak="0">
    <w:nsid w:val="558341B9"/>
    <w:multiLevelType w:val="multilevel"/>
    <w:tmpl w:val="558341B9"/>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D251588"/>
    <w:multiLevelType w:val="multilevel"/>
    <w:tmpl w:val="5D251588"/>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616B1A70"/>
    <w:multiLevelType w:val="multilevel"/>
    <w:tmpl w:val="616B1A7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2" w15:restartNumberingAfterBreak="0">
    <w:nsid w:val="63231137"/>
    <w:multiLevelType w:val="multilevel"/>
    <w:tmpl w:val="63231137"/>
    <w:lvl w:ilvl="0">
      <w:start w:val="1"/>
      <w:numFmt w:val="lowerLetter"/>
      <w:lvlText w:val="%1."/>
      <w:lvlJc w:val="left"/>
      <w:pPr>
        <w:ind w:left="720" w:hanging="360"/>
      </w:pPr>
      <w:rPr>
        <w:rFonts w:asciiTheme="minorBidi" w:hAnsiTheme="minorBidi" w:cstheme="minorBidi" w:hint="default"/>
        <w:b/>
        <w:i w:val="0"/>
        <w:color w:val="0D0D0D" w:themeColor="text1" w:themeTint="F2"/>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65DF5C00"/>
    <w:multiLevelType w:val="multilevel"/>
    <w:tmpl w:val="65DF5C00"/>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4" w15:restartNumberingAfterBreak="0">
    <w:nsid w:val="68B83A99"/>
    <w:multiLevelType w:val="multilevel"/>
    <w:tmpl w:val="68B83A99"/>
    <w:lvl w:ilvl="0">
      <w:start w:val="1"/>
      <w:numFmt w:val="lowerLetter"/>
      <w:lvlText w:val="%1."/>
      <w:lvlJc w:val="left"/>
      <w:pPr>
        <w:ind w:left="420" w:hanging="360"/>
      </w:pPr>
      <w:rPr>
        <w:rFonts w:hint="default"/>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25" w15:restartNumberingAfterBreak="0">
    <w:nsid w:val="6EB72028"/>
    <w:multiLevelType w:val="multilevel"/>
    <w:tmpl w:val="6EB72028"/>
    <w:lvl w:ilvl="0">
      <w:start w:val="1"/>
      <w:numFmt w:val="decimal"/>
      <w:lvlText w:val="%1."/>
      <w:lvlJc w:val="left"/>
      <w:pPr>
        <w:ind w:left="360" w:hanging="360"/>
      </w:pPr>
      <w:rPr>
        <w:rFonts w:hint="default"/>
        <w:color w:val="0D0D0D" w:themeColor="text1" w:themeTint="F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6A57048"/>
    <w:multiLevelType w:val="multilevel"/>
    <w:tmpl w:val="76A57048"/>
    <w:lvl w:ilvl="0">
      <w:start w:val="1"/>
      <w:numFmt w:val="bullet"/>
      <w:lvlText w:val=""/>
      <w:lvlJc w:val="left"/>
      <w:pPr>
        <w:ind w:left="720" w:hanging="360"/>
      </w:pPr>
      <w:rPr>
        <w:rFonts w:ascii="Symbol" w:hAnsi="Symbol"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779C7DA5"/>
    <w:multiLevelType w:val="multilevel"/>
    <w:tmpl w:val="779C7DA5"/>
    <w:lvl w:ilvl="0">
      <w:start w:val="1"/>
      <w:numFmt w:val="decimal"/>
      <w:lvlText w:val="%1."/>
      <w:lvlJc w:val="left"/>
      <w:pPr>
        <w:ind w:left="502" w:hanging="360"/>
      </w:pPr>
      <w:rPr>
        <w:rFonts w:asciiTheme="minorBidi" w:hAnsiTheme="minorBidi" w:cstheme="minorBidi" w:hint="default"/>
        <w:b/>
        <w:bCs/>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D4750F6"/>
    <w:multiLevelType w:val="multilevel"/>
    <w:tmpl w:val="7D4750F6"/>
    <w:lvl w:ilvl="0">
      <w:start w:val="1"/>
      <w:numFmt w:val="upperRoman"/>
      <w:lvlText w:val="%1."/>
      <w:lvlJc w:val="left"/>
      <w:pPr>
        <w:ind w:left="1428" w:hanging="72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9" w15:restartNumberingAfterBreak="0">
    <w:nsid w:val="7E316DA6"/>
    <w:multiLevelType w:val="multilevel"/>
    <w:tmpl w:val="7E316DA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F9B3776"/>
    <w:multiLevelType w:val="multilevel"/>
    <w:tmpl w:val="7F9B3776"/>
    <w:lvl w:ilvl="0">
      <w:start w:val="1"/>
      <w:numFmt w:val="bullet"/>
      <w:lvlText w:val=""/>
      <w:lvlJc w:val="left"/>
      <w:pPr>
        <w:ind w:left="720" w:hanging="360"/>
      </w:pPr>
      <w:rPr>
        <w:rFonts w:ascii="Symbol" w:hAnsi="Symbol"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19573745">
    <w:abstractNumId w:val="3"/>
  </w:num>
  <w:num w:numId="2" w16cid:durableId="1620799470">
    <w:abstractNumId w:val="12"/>
  </w:num>
  <w:num w:numId="3" w16cid:durableId="34549684">
    <w:abstractNumId w:val="13"/>
  </w:num>
  <w:num w:numId="4" w16cid:durableId="1420176470">
    <w:abstractNumId w:val="16"/>
  </w:num>
  <w:num w:numId="5" w16cid:durableId="1773821932">
    <w:abstractNumId w:val="4"/>
  </w:num>
  <w:num w:numId="6" w16cid:durableId="1454592854">
    <w:abstractNumId w:val="6"/>
  </w:num>
  <w:num w:numId="7" w16cid:durableId="2040812697">
    <w:abstractNumId w:val="1"/>
  </w:num>
  <w:num w:numId="8" w16cid:durableId="2030064841">
    <w:abstractNumId w:val="25"/>
  </w:num>
  <w:num w:numId="9" w16cid:durableId="1630821501">
    <w:abstractNumId w:val="28"/>
  </w:num>
  <w:num w:numId="10" w16cid:durableId="1709261580">
    <w:abstractNumId w:val="8"/>
  </w:num>
  <w:num w:numId="11" w16cid:durableId="430127235">
    <w:abstractNumId w:val="10"/>
  </w:num>
  <w:num w:numId="12" w16cid:durableId="1452482576">
    <w:abstractNumId w:val="2"/>
  </w:num>
  <w:num w:numId="13" w16cid:durableId="1092968656">
    <w:abstractNumId w:val="27"/>
  </w:num>
  <w:num w:numId="14" w16cid:durableId="725186449">
    <w:abstractNumId w:val="29"/>
  </w:num>
  <w:num w:numId="15" w16cid:durableId="488056099">
    <w:abstractNumId w:val="0"/>
  </w:num>
  <w:num w:numId="16" w16cid:durableId="184444029">
    <w:abstractNumId w:val="7"/>
  </w:num>
  <w:num w:numId="17" w16cid:durableId="1969896423">
    <w:abstractNumId w:val="11"/>
  </w:num>
  <w:num w:numId="18" w16cid:durableId="468910373">
    <w:abstractNumId w:val="19"/>
  </w:num>
  <w:num w:numId="19" w16cid:durableId="1284578103">
    <w:abstractNumId w:val="26"/>
  </w:num>
  <w:num w:numId="20" w16cid:durableId="1530147905">
    <w:abstractNumId w:val="5"/>
  </w:num>
  <w:num w:numId="21" w16cid:durableId="1929190532">
    <w:abstractNumId w:val="20"/>
  </w:num>
  <w:num w:numId="22" w16cid:durableId="1528449941">
    <w:abstractNumId w:val="14"/>
  </w:num>
  <w:num w:numId="23" w16cid:durableId="332031560">
    <w:abstractNumId w:val="30"/>
  </w:num>
  <w:num w:numId="24" w16cid:durableId="1754160160">
    <w:abstractNumId w:val="22"/>
  </w:num>
  <w:num w:numId="25" w16cid:durableId="1472870081">
    <w:abstractNumId w:val="24"/>
  </w:num>
  <w:num w:numId="26" w16cid:durableId="939290625">
    <w:abstractNumId w:val="9"/>
  </w:num>
  <w:num w:numId="27" w16cid:durableId="697901094">
    <w:abstractNumId w:val="23"/>
  </w:num>
  <w:num w:numId="28" w16cid:durableId="1047217742">
    <w:abstractNumId w:val="21"/>
  </w:num>
  <w:num w:numId="29" w16cid:durableId="728192644">
    <w:abstractNumId w:val="15"/>
  </w:num>
  <w:num w:numId="30" w16cid:durableId="1047728948">
    <w:abstractNumId w:val="18"/>
  </w:num>
  <w:num w:numId="31" w16cid:durableId="14882829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proofState w:spelling="clean" w:grammar="clean"/>
  <w:defaultTabStop w:val="708"/>
  <w:hyphenationZone w:val="425"/>
  <w:characterSpacingControl w:val="doNotCompress"/>
  <w:hdrShapeDefaults>
    <o:shapedefaults v:ext="edit" spidmax="2050" fillcolor="white">
      <v:fill color="whit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4293"/>
    <w:rsid w:val="00001962"/>
    <w:rsid w:val="00001BB1"/>
    <w:rsid w:val="0000220B"/>
    <w:rsid w:val="00004691"/>
    <w:rsid w:val="00020E48"/>
    <w:rsid w:val="00021F6E"/>
    <w:rsid w:val="0002305F"/>
    <w:rsid w:val="00026480"/>
    <w:rsid w:val="00027DBA"/>
    <w:rsid w:val="00032AE6"/>
    <w:rsid w:val="00035D41"/>
    <w:rsid w:val="0003600B"/>
    <w:rsid w:val="000406FC"/>
    <w:rsid w:val="000469CA"/>
    <w:rsid w:val="00054358"/>
    <w:rsid w:val="0006062A"/>
    <w:rsid w:val="00061741"/>
    <w:rsid w:val="0007266A"/>
    <w:rsid w:val="00072F2F"/>
    <w:rsid w:val="00075AA9"/>
    <w:rsid w:val="000813F5"/>
    <w:rsid w:val="000814DE"/>
    <w:rsid w:val="000878FE"/>
    <w:rsid w:val="000924CF"/>
    <w:rsid w:val="00092AC6"/>
    <w:rsid w:val="000B0608"/>
    <w:rsid w:val="000B1C3C"/>
    <w:rsid w:val="000B4419"/>
    <w:rsid w:val="000B7ECD"/>
    <w:rsid w:val="000D60AE"/>
    <w:rsid w:val="000E2CD8"/>
    <w:rsid w:val="000E41C8"/>
    <w:rsid w:val="000F0C9C"/>
    <w:rsid w:val="000F380D"/>
    <w:rsid w:val="000F3ADF"/>
    <w:rsid w:val="000F416A"/>
    <w:rsid w:val="00103470"/>
    <w:rsid w:val="00114DD6"/>
    <w:rsid w:val="00116CB4"/>
    <w:rsid w:val="001207D5"/>
    <w:rsid w:val="00123041"/>
    <w:rsid w:val="00137B26"/>
    <w:rsid w:val="00140D29"/>
    <w:rsid w:val="00144D60"/>
    <w:rsid w:val="001456AD"/>
    <w:rsid w:val="00152C02"/>
    <w:rsid w:val="001530E8"/>
    <w:rsid w:val="00162D4F"/>
    <w:rsid w:val="00167FDA"/>
    <w:rsid w:val="00170B0C"/>
    <w:rsid w:val="001711C2"/>
    <w:rsid w:val="00176C15"/>
    <w:rsid w:val="00176D12"/>
    <w:rsid w:val="00182982"/>
    <w:rsid w:val="00183848"/>
    <w:rsid w:val="00186223"/>
    <w:rsid w:val="00187BC8"/>
    <w:rsid w:val="00190257"/>
    <w:rsid w:val="001963B6"/>
    <w:rsid w:val="001970F4"/>
    <w:rsid w:val="001B595E"/>
    <w:rsid w:val="001C3985"/>
    <w:rsid w:val="001C47CB"/>
    <w:rsid w:val="001C4A9A"/>
    <w:rsid w:val="001D39F0"/>
    <w:rsid w:val="001E3217"/>
    <w:rsid w:val="001E3A48"/>
    <w:rsid w:val="001E5BA6"/>
    <w:rsid w:val="001E76A1"/>
    <w:rsid w:val="001E7F50"/>
    <w:rsid w:val="00201234"/>
    <w:rsid w:val="002160EF"/>
    <w:rsid w:val="0021726F"/>
    <w:rsid w:val="0023249D"/>
    <w:rsid w:val="00233493"/>
    <w:rsid w:val="00233B59"/>
    <w:rsid w:val="00235CB5"/>
    <w:rsid w:val="0024134E"/>
    <w:rsid w:val="0024459B"/>
    <w:rsid w:val="00245B59"/>
    <w:rsid w:val="00255171"/>
    <w:rsid w:val="00257668"/>
    <w:rsid w:val="002623CE"/>
    <w:rsid w:val="00266286"/>
    <w:rsid w:val="002665CC"/>
    <w:rsid w:val="00271B36"/>
    <w:rsid w:val="00271F3E"/>
    <w:rsid w:val="00272F1A"/>
    <w:rsid w:val="002776C6"/>
    <w:rsid w:val="00277802"/>
    <w:rsid w:val="002902EB"/>
    <w:rsid w:val="002928C7"/>
    <w:rsid w:val="00292D2C"/>
    <w:rsid w:val="00294282"/>
    <w:rsid w:val="002946DA"/>
    <w:rsid w:val="002966CD"/>
    <w:rsid w:val="002A590B"/>
    <w:rsid w:val="002B71C6"/>
    <w:rsid w:val="002D3822"/>
    <w:rsid w:val="002D56F2"/>
    <w:rsid w:val="002D683D"/>
    <w:rsid w:val="002E5247"/>
    <w:rsid w:val="002F0199"/>
    <w:rsid w:val="002F1569"/>
    <w:rsid w:val="002F1B57"/>
    <w:rsid w:val="002F427F"/>
    <w:rsid w:val="002F5BC3"/>
    <w:rsid w:val="0030431B"/>
    <w:rsid w:val="00304B76"/>
    <w:rsid w:val="00315FE4"/>
    <w:rsid w:val="0032172E"/>
    <w:rsid w:val="0033345D"/>
    <w:rsid w:val="0033765E"/>
    <w:rsid w:val="003462B7"/>
    <w:rsid w:val="00363A4B"/>
    <w:rsid w:val="003662B9"/>
    <w:rsid w:val="003726DF"/>
    <w:rsid w:val="003823EE"/>
    <w:rsid w:val="00383AD4"/>
    <w:rsid w:val="00386822"/>
    <w:rsid w:val="003967CF"/>
    <w:rsid w:val="003A1C96"/>
    <w:rsid w:val="003A38C3"/>
    <w:rsid w:val="003A768E"/>
    <w:rsid w:val="003B1804"/>
    <w:rsid w:val="003C2406"/>
    <w:rsid w:val="003C4C0B"/>
    <w:rsid w:val="003C7FE0"/>
    <w:rsid w:val="003D0B38"/>
    <w:rsid w:val="003D4352"/>
    <w:rsid w:val="003E1ED9"/>
    <w:rsid w:val="003E6758"/>
    <w:rsid w:val="003E6FBB"/>
    <w:rsid w:val="003F09CD"/>
    <w:rsid w:val="0040171C"/>
    <w:rsid w:val="00405E51"/>
    <w:rsid w:val="004062D7"/>
    <w:rsid w:val="0041113C"/>
    <w:rsid w:val="00420B7B"/>
    <w:rsid w:val="00427313"/>
    <w:rsid w:val="004302D4"/>
    <w:rsid w:val="00433CCA"/>
    <w:rsid w:val="00437436"/>
    <w:rsid w:val="0044684C"/>
    <w:rsid w:val="004470FE"/>
    <w:rsid w:val="00447F3A"/>
    <w:rsid w:val="0045212E"/>
    <w:rsid w:val="00454364"/>
    <w:rsid w:val="00462D06"/>
    <w:rsid w:val="00464CAF"/>
    <w:rsid w:val="00475383"/>
    <w:rsid w:val="00481770"/>
    <w:rsid w:val="00485174"/>
    <w:rsid w:val="00485378"/>
    <w:rsid w:val="0048538C"/>
    <w:rsid w:val="0049335E"/>
    <w:rsid w:val="0049687D"/>
    <w:rsid w:val="004A2371"/>
    <w:rsid w:val="004A6419"/>
    <w:rsid w:val="004C3F24"/>
    <w:rsid w:val="004C3FAA"/>
    <w:rsid w:val="004D2899"/>
    <w:rsid w:val="004D55BC"/>
    <w:rsid w:val="004E32B4"/>
    <w:rsid w:val="004E5780"/>
    <w:rsid w:val="004E5E8B"/>
    <w:rsid w:val="004F2257"/>
    <w:rsid w:val="004F5684"/>
    <w:rsid w:val="005016FD"/>
    <w:rsid w:val="00501EF1"/>
    <w:rsid w:val="00502BB2"/>
    <w:rsid w:val="00503E55"/>
    <w:rsid w:val="0050493C"/>
    <w:rsid w:val="005141E7"/>
    <w:rsid w:val="0052554C"/>
    <w:rsid w:val="00527424"/>
    <w:rsid w:val="00553CC3"/>
    <w:rsid w:val="00560409"/>
    <w:rsid w:val="00567123"/>
    <w:rsid w:val="005710FE"/>
    <w:rsid w:val="0057294D"/>
    <w:rsid w:val="00572B85"/>
    <w:rsid w:val="0057319A"/>
    <w:rsid w:val="005736E3"/>
    <w:rsid w:val="005742CB"/>
    <w:rsid w:val="0057588B"/>
    <w:rsid w:val="00576346"/>
    <w:rsid w:val="005779D1"/>
    <w:rsid w:val="00594495"/>
    <w:rsid w:val="005A0A7F"/>
    <w:rsid w:val="005A5532"/>
    <w:rsid w:val="005B3240"/>
    <w:rsid w:val="005B507F"/>
    <w:rsid w:val="005B69A2"/>
    <w:rsid w:val="005C7A1D"/>
    <w:rsid w:val="005D5E0F"/>
    <w:rsid w:val="005E0E4E"/>
    <w:rsid w:val="005E5D17"/>
    <w:rsid w:val="005E741F"/>
    <w:rsid w:val="005F2AFF"/>
    <w:rsid w:val="00602BD0"/>
    <w:rsid w:val="006108F7"/>
    <w:rsid w:val="00611361"/>
    <w:rsid w:val="00616992"/>
    <w:rsid w:val="006217CF"/>
    <w:rsid w:val="006306DB"/>
    <w:rsid w:val="006321C7"/>
    <w:rsid w:val="00643744"/>
    <w:rsid w:val="00646285"/>
    <w:rsid w:val="00646F45"/>
    <w:rsid w:val="00647530"/>
    <w:rsid w:val="006554E9"/>
    <w:rsid w:val="00656712"/>
    <w:rsid w:val="00677D80"/>
    <w:rsid w:val="00680A48"/>
    <w:rsid w:val="0069123E"/>
    <w:rsid w:val="006937F4"/>
    <w:rsid w:val="006B20D3"/>
    <w:rsid w:val="006B5846"/>
    <w:rsid w:val="006B780A"/>
    <w:rsid w:val="006B7CAA"/>
    <w:rsid w:val="006C0FA0"/>
    <w:rsid w:val="006C32B5"/>
    <w:rsid w:val="006C6B06"/>
    <w:rsid w:val="006D0EF5"/>
    <w:rsid w:val="006E0117"/>
    <w:rsid w:val="006E66B6"/>
    <w:rsid w:val="006F4027"/>
    <w:rsid w:val="006F7A55"/>
    <w:rsid w:val="00714567"/>
    <w:rsid w:val="007229B2"/>
    <w:rsid w:val="00726DAA"/>
    <w:rsid w:val="0073602D"/>
    <w:rsid w:val="00740926"/>
    <w:rsid w:val="007429D7"/>
    <w:rsid w:val="00742FB6"/>
    <w:rsid w:val="007568A5"/>
    <w:rsid w:val="007637A7"/>
    <w:rsid w:val="00764749"/>
    <w:rsid w:val="00765443"/>
    <w:rsid w:val="00776F3E"/>
    <w:rsid w:val="00781496"/>
    <w:rsid w:val="00784B0F"/>
    <w:rsid w:val="00785A8D"/>
    <w:rsid w:val="0079265B"/>
    <w:rsid w:val="007A2731"/>
    <w:rsid w:val="007B46CB"/>
    <w:rsid w:val="007C2164"/>
    <w:rsid w:val="007C32E8"/>
    <w:rsid w:val="007C4F81"/>
    <w:rsid w:val="007C56F4"/>
    <w:rsid w:val="007D447B"/>
    <w:rsid w:val="007D4EC7"/>
    <w:rsid w:val="00804194"/>
    <w:rsid w:val="00814DA6"/>
    <w:rsid w:val="00816370"/>
    <w:rsid w:val="00823288"/>
    <w:rsid w:val="008269E6"/>
    <w:rsid w:val="00830FB2"/>
    <w:rsid w:val="00831724"/>
    <w:rsid w:val="00832CBB"/>
    <w:rsid w:val="00833019"/>
    <w:rsid w:val="00834E4B"/>
    <w:rsid w:val="0085654A"/>
    <w:rsid w:val="0086002B"/>
    <w:rsid w:val="00862222"/>
    <w:rsid w:val="00866A90"/>
    <w:rsid w:val="00866CF2"/>
    <w:rsid w:val="00872D90"/>
    <w:rsid w:val="0087740C"/>
    <w:rsid w:val="00884331"/>
    <w:rsid w:val="00885791"/>
    <w:rsid w:val="008A0E56"/>
    <w:rsid w:val="008A668B"/>
    <w:rsid w:val="008B5DD0"/>
    <w:rsid w:val="008C057F"/>
    <w:rsid w:val="008C062C"/>
    <w:rsid w:val="008C165B"/>
    <w:rsid w:val="008C2C92"/>
    <w:rsid w:val="008C36FA"/>
    <w:rsid w:val="008C595F"/>
    <w:rsid w:val="008D72B7"/>
    <w:rsid w:val="008E7181"/>
    <w:rsid w:val="008F098C"/>
    <w:rsid w:val="008F371C"/>
    <w:rsid w:val="008F6018"/>
    <w:rsid w:val="00913F8C"/>
    <w:rsid w:val="00914FAC"/>
    <w:rsid w:val="009233D7"/>
    <w:rsid w:val="00924723"/>
    <w:rsid w:val="00925CE0"/>
    <w:rsid w:val="00926D04"/>
    <w:rsid w:val="009346E3"/>
    <w:rsid w:val="00934862"/>
    <w:rsid w:val="009366E6"/>
    <w:rsid w:val="009416D3"/>
    <w:rsid w:val="00941F47"/>
    <w:rsid w:val="00956116"/>
    <w:rsid w:val="009566B0"/>
    <w:rsid w:val="009570EA"/>
    <w:rsid w:val="00962D86"/>
    <w:rsid w:val="0096422D"/>
    <w:rsid w:val="009651EC"/>
    <w:rsid w:val="00966263"/>
    <w:rsid w:val="009672E9"/>
    <w:rsid w:val="00971027"/>
    <w:rsid w:val="00995E6E"/>
    <w:rsid w:val="009A3887"/>
    <w:rsid w:val="009A5735"/>
    <w:rsid w:val="009B28B1"/>
    <w:rsid w:val="009B595C"/>
    <w:rsid w:val="009C1A87"/>
    <w:rsid w:val="009C513B"/>
    <w:rsid w:val="009D2535"/>
    <w:rsid w:val="009D2D60"/>
    <w:rsid w:val="009D4353"/>
    <w:rsid w:val="009D6929"/>
    <w:rsid w:val="009E6282"/>
    <w:rsid w:val="009E65E3"/>
    <w:rsid w:val="00A050BE"/>
    <w:rsid w:val="00A1578E"/>
    <w:rsid w:val="00A15EB7"/>
    <w:rsid w:val="00A216E8"/>
    <w:rsid w:val="00A21FA4"/>
    <w:rsid w:val="00A24EBE"/>
    <w:rsid w:val="00A50190"/>
    <w:rsid w:val="00A57043"/>
    <w:rsid w:val="00A63CD7"/>
    <w:rsid w:val="00A6709A"/>
    <w:rsid w:val="00A72AE1"/>
    <w:rsid w:val="00A7495C"/>
    <w:rsid w:val="00A7633B"/>
    <w:rsid w:val="00A81970"/>
    <w:rsid w:val="00A821D1"/>
    <w:rsid w:val="00A8473D"/>
    <w:rsid w:val="00AA23E2"/>
    <w:rsid w:val="00AA547A"/>
    <w:rsid w:val="00AB12C5"/>
    <w:rsid w:val="00AB6EC1"/>
    <w:rsid w:val="00AC2E07"/>
    <w:rsid w:val="00AC5B1B"/>
    <w:rsid w:val="00AD1607"/>
    <w:rsid w:val="00AD3A51"/>
    <w:rsid w:val="00B03329"/>
    <w:rsid w:val="00B06BC7"/>
    <w:rsid w:val="00B10ADC"/>
    <w:rsid w:val="00B17226"/>
    <w:rsid w:val="00B17861"/>
    <w:rsid w:val="00B22ADD"/>
    <w:rsid w:val="00B300B6"/>
    <w:rsid w:val="00B35352"/>
    <w:rsid w:val="00B3603D"/>
    <w:rsid w:val="00B4606C"/>
    <w:rsid w:val="00B50636"/>
    <w:rsid w:val="00B5315A"/>
    <w:rsid w:val="00B60E25"/>
    <w:rsid w:val="00B60FEC"/>
    <w:rsid w:val="00B62227"/>
    <w:rsid w:val="00B62C78"/>
    <w:rsid w:val="00B66115"/>
    <w:rsid w:val="00B709EE"/>
    <w:rsid w:val="00B71B9B"/>
    <w:rsid w:val="00B73921"/>
    <w:rsid w:val="00B75BCF"/>
    <w:rsid w:val="00B75D48"/>
    <w:rsid w:val="00B84757"/>
    <w:rsid w:val="00B85CC2"/>
    <w:rsid w:val="00B86E45"/>
    <w:rsid w:val="00B86E81"/>
    <w:rsid w:val="00B90F59"/>
    <w:rsid w:val="00B91316"/>
    <w:rsid w:val="00B91691"/>
    <w:rsid w:val="00B927A2"/>
    <w:rsid w:val="00B96F08"/>
    <w:rsid w:val="00BA24B1"/>
    <w:rsid w:val="00BA2F64"/>
    <w:rsid w:val="00BB01A1"/>
    <w:rsid w:val="00BB0466"/>
    <w:rsid w:val="00BB2CA4"/>
    <w:rsid w:val="00BB7645"/>
    <w:rsid w:val="00BC1044"/>
    <w:rsid w:val="00BC7E6B"/>
    <w:rsid w:val="00BD0D5E"/>
    <w:rsid w:val="00BF6E32"/>
    <w:rsid w:val="00C0509B"/>
    <w:rsid w:val="00C103BC"/>
    <w:rsid w:val="00C14D25"/>
    <w:rsid w:val="00C14D32"/>
    <w:rsid w:val="00C212C0"/>
    <w:rsid w:val="00C25940"/>
    <w:rsid w:val="00C322CE"/>
    <w:rsid w:val="00C51A78"/>
    <w:rsid w:val="00C57BE4"/>
    <w:rsid w:val="00C62F5D"/>
    <w:rsid w:val="00C664DD"/>
    <w:rsid w:val="00C6704F"/>
    <w:rsid w:val="00C713CF"/>
    <w:rsid w:val="00C9150D"/>
    <w:rsid w:val="00CA034F"/>
    <w:rsid w:val="00CA162D"/>
    <w:rsid w:val="00CA3EEE"/>
    <w:rsid w:val="00CA466F"/>
    <w:rsid w:val="00CA50A5"/>
    <w:rsid w:val="00CA5B15"/>
    <w:rsid w:val="00CB4868"/>
    <w:rsid w:val="00CD1423"/>
    <w:rsid w:val="00CD22BF"/>
    <w:rsid w:val="00CD4F5C"/>
    <w:rsid w:val="00CE6236"/>
    <w:rsid w:val="00D00539"/>
    <w:rsid w:val="00D02662"/>
    <w:rsid w:val="00D04FA1"/>
    <w:rsid w:val="00D078BB"/>
    <w:rsid w:val="00D164AF"/>
    <w:rsid w:val="00D213AA"/>
    <w:rsid w:val="00D21422"/>
    <w:rsid w:val="00D31090"/>
    <w:rsid w:val="00D33F7E"/>
    <w:rsid w:val="00D34126"/>
    <w:rsid w:val="00D34F31"/>
    <w:rsid w:val="00D3587F"/>
    <w:rsid w:val="00D3665E"/>
    <w:rsid w:val="00D42854"/>
    <w:rsid w:val="00D4307F"/>
    <w:rsid w:val="00D476BD"/>
    <w:rsid w:val="00D52B0A"/>
    <w:rsid w:val="00D5403A"/>
    <w:rsid w:val="00D54691"/>
    <w:rsid w:val="00D548E1"/>
    <w:rsid w:val="00D55C06"/>
    <w:rsid w:val="00D56B63"/>
    <w:rsid w:val="00D61D97"/>
    <w:rsid w:val="00D66F26"/>
    <w:rsid w:val="00D70624"/>
    <w:rsid w:val="00D70E1B"/>
    <w:rsid w:val="00D73359"/>
    <w:rsid w:val="00D73E84"/>
    <w:rsid w:val="00D74D15"/>
    <w:rsid w:val="00D91687"/>
    <w:rsid w:val="00DA19C6"/>
    <w:rsid w:val="00DA3F54"/>
    <w:rsid w:val="00DA5EED"/>
    <w:rsid w:val="00DB0E9C"/>
    <w:rsid w:val="00DB3453"/>
    <w:rsid w:val="00DC455F"/>
    <w:rsid w:val="00DF3C97"/>
    <w:rsid w:val="00DF5DB6"/>
    <w:rsid w:val="00DF7EA0"/>
    <w:rsid w:val="00E007F0"/>
    <w:rsid w:val="00E075FF"/>
    <w:rsid w:val="00E26ED7"/>
    <w:rsid w:val="00E2702E"/>
    <w:rsid w:val="00E32DDB"/>
    <w:rsid w:val="00E34B0A"/>
    <w:rsid w:val="00E3685C"/>
    <w:rsid w:val="00E4357D"/>
    <w:rsid w:val="00E43FF8"/>
    <w:rsid w:val="00E51124"/>
    <w:rsid w:val="00E54FC4"/>
    <w:rsid w:val="00E7056C"/>
    <w:rsid w:val="00E765A7"/>
    <w:rsid w:val="00E806F7"/>
    <w:rsid w:val="00E87169"/>
    <w:rsid w:val="00EA1925"/>
    <w:rsid w:val="00EA4BB5"/>
    <w:rsid w:val="00EC1CF8"/>
    <w:rsid w:val="00EC3647"/>
    <w:rsid w:val="00EC6678"/>
    <w:rsid w:val="00ED0B69"/>
    <w:rsid w:val="00EE2BB7"/>
    <w:rsid w:val="00EE3EF2"/>
    <w:rsid w:val="00EE5ED0"/>
    <w:rsid w:val="00EF131D"/>
    <w:rsid w:val="00EF6292"/>
    <w:rsid w:val="00EF73DB"/>
    <w:rsid w:val="00F009DA"/>
    <w:rsid w:val="00F01F09"/>
    <w:rsid w:val="00F0412A"/>
    <w:rsid w:val="00F06C99"/>
    <w:rsid w:val="00F113B0"/>
    <w:rsid w:val="00F348FC"/>
    <w:rsid w:val="00F34F73"/>
    <w:rsid w:val="00F35644"/>
    <w:rsid w:val="00F43325"/>
    <w:rsid w:val="00F533F5"/>
    <w:rsid w:val="00F53B13"/>
    <w:rsid w:val="00F6032B"/>
    <w:rsid w:val="00F62603"/>
    <w:rsid w:val="00F62D4A"/>
    <w:rsid w:val="00F6524B"/>
    <w:rsid w:val="00F65FFD"/>
    <w:rsid w:val="00F674DB"/>
    <w:rsid w:val="00F73673"/>
    <w:rsid w:val="00F7592A"/>
    <w:rsid w:val="00F761F8"/>
    <w:rsid w:val="00F84293"/>
    <w:rsid w:val="00F84E93"/>
    <w:rsid w:val="00F85FBB"/>
    <w:rsid w:val="00FA19A9"/>
    <w:rsid w:val="00FB1CA9"/>
    <w:rsid w:val="00FC0E6F"/>
    <w:rsid w:val="00FC150C"/>
    <w:rsid w:val="00FD0969"/>
    <w:rsid w:val="00FD0F53"/>
    <w:rsid w:val="00FF2A5A"/>
    <w:rsid w:val="00FF6C11"/>
    <w:rsid w:val="1CB81254"/>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4D3C86E"/>
  <w15:docId w15:val="{6845C7C5-0D53-47E4-B557-127BA269A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kern w:val="2"/>
      <w:sz w:val="22"/>
      <w:szCs w:val="22"/>
      <w:lang w:eastAsia="en-US"/>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Pr>
      <w:color w:val="467886" w:themeColor="hyperlink"/>
      <w:u w:val="single"/>
    </w:rPr>
  </w:style>
  <w:style w:type="character" w:styleId="FootnoteReference">
    <w:name w:val="footnote reference"/>
    <w:basedOn w:val="DefaultParagraphFont"/>
    <w:uiPriority w:val="99"/>
    <w:semiHidden/>
    <w:unhideWhenUsed/>
    <w:rPr>
      <w:vertAlign w:val="superscript"/>
    </w:rPr>
  </w:style>
  <w:style w:type="character" w:styleId="EndnoteReference">
    <w:name w:val="endnote reference"/>
    <w:basedOn w:val="DefaultParagraphFont"/>
    <w:uiPriority w:val="99"/>
    <w:semiHidden/>
    <w:unhideWhenUsed/>
    <w:qFormat/>
    <w:rPr>
      <w:vertAlign w:val="superscript"/>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EndnoteText">
    <w:name w:val="endnote text"/>
    <w:basedOn w:val="Normal"/>
    <w:link w:val="EndnoteTextChar"/>
    <w:uiPriority w:val="99"/>
    <w:semiHidden/>
    <w:unhideWhenUsed/>
    <w:qFormat/>
    <w:pPr>
      <w:spacing w:after="0" w:line="240" w:lineRule="auto"/>
    </w:pPr>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 w:type="paragraph" w:styleId="Caption">
    <w:name w:val="caption"/>
    <w:basedOn w:val="Normal"/>
    <w:next w:val="Normal"/>
    <w:uiPriority w:val="35"/>
    <w:unhideWhenUsed/>
    <w:qFormat/>
    <w:pPr>
      <w:spacing w:after="200" w:line="240" w:lineRule="auto"/>
    </w:pPr>
    <w:rPr>
      <w:i/>
      <w:iCs/>
      <w:color w:val="0E2841" w:themeColor="text2"/>
      <w:sz w:val="18"/>
      <w:szCs w:val="18"/>
    </w:rPr>
  </w:style>
  <w:style w:type="paragraph" w:styleId="TOC3">
    <w:name w:val="toc 3"/>
    <w:basedOn w:val="Normal"/>
    <w:next w:val="Normal"/>
    <w:autoRedefine/>
    <w:uiPriority w:val="39"/>
    <w:unhideWhenUsed/>
    <w:pPr>
      <w:spacing w:after="100"/>
      <w:ind w:left="440"/>
    </w:pPr>
    <w:rPr>
      <w:rFonts w:eastAsiaTheme="minorEastAsia" w:cs="Times New Roman"/>
      <w:kern w:val="0"/>
      <w:lang w:val="en-US"/>
      <w14:ligatures w14:val="non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Footer">
    <w:name w:val="footer"/>
    <w:basedOn w:val="Normal"/>
    <w:link w:val="FooterChar"/>
    <w:uiPriority w:val="99"/>
    <w:unhideWhenUsed/>
    <w:pPr>
      <w:tabs>
        <w:tab w:val="center" w:pos="4536"/>
        <w:tab w:val="right" w:pos="9072"/>
      </w:tabs>
      <w:spacing w:after="0" w:line="240" w:lineRule="auto"/>
    </w:pPr>
  </w:style>
  <w:style w:type="paragraph" w:styleId="Header">
    <w:name w:val="header"/>
    <w:basedOn w:val="Normal"/>
    <w:link w:val="HeaderChar"/>
    <w:uiPriority w:val="99"/>
    <w:unhideWhenUsed/>
    <w:pPr>
      <w:tabs>
        <w:tab w:val="center" w:pos="4536"/>
        <w:tab w:val="right" w:pos="9072"/>
      </w:tabs>
      <w:spacing w:after="0" w:line="240" w:lineRule="auto"/>
    </w:pPr>
  </w:style>
  <w:style w:type="paragraph" w:styleId="TOC2">
    <w:name w:val="toc 2"/>
    <w:basedOn w:val="Normal"/>
    <w:next w:val="Normal"/>
    <w:autoRedefine/>
    <w:uiPriority w:val="39"/>
    <w:unhideWhenUsed/>
    <w:pPr>
      <w:spacing w:after="100"/>
      <w:ind w:left="220"/>
    </w:pPr>
    <w:rPr>
      <w:rFonts w:eastAsiaTheme="minorEastAsia" w:cs="Times New Roman"/>
      <w:kern w:val="0"/>
      <w:lang w:val="en-US"/>
      <w14:ligatures w14:val="none"/>
    </w:rPr>
  </w:style>
  <w:style w:type="paragraph" w:styleId="TableofFigures">
    <w:name w:val="table of figures"/>
    <w:basedOn w:val="Normal"/>
    <w:next w:val="Normal"/>
    <w:uiPriority w:val="99"/>
    <w:unhideWhenUsed/>
    <w:pPr>
      <w:spacing w:after="0"/>
    </w:pPr>
    <w:rPr>
      <w:rFonts w:cs="Times New Roman"/>
      <w:i/>
      <w:iCs/>
      <w:sz w:val="20"/>
      <w:szCs w:val="24"/>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TOC1">
    <w:name w:val="toc 1"/>
    <w:basedOn w:val="Normal"/>
    <w:next w:val="Normal"/>
    <w:autoRedefine/>
    <w:uiPriority w:val="39"/>
    <w:unhideWhenUsed/>
    <w:pPr>
      <w:spacing w:after="100"/>
    </w:pPr>
    <w:rPr>
      <w:rFonts w:eastAsiaTheme="minorEastAsia" w:cs="Times New Roman"/>
      <w:kern w:val="0"/>
      <w:lang w:val="en-US"/>
      <w14:ligatures w14:val="none"/>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EndnoteTextChar">
    <w:name w:val="Endnote Text Char"/>
    <w:basedOn w:val="DefaultParagraphFont"/>
    <w:link w:val="EndnoteText"/>
    <w:uiPriority w:val="99"/>
    <w:semiHidden/>
    <w:qFormat/>
    <w:rPr>
      <w:sz w:val="20"/>
      <w:szCs w:val="20"/>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semiHidden/>
    <w:rPr>
      <w:sz w:val="20"/>
      <w:szCs w:val="20"/>
    </w:rPr>
  </w:style>
  <w:style w:type="paragraph" w:customStyle="1" w:styleId="my-2">
    <w:name w:val="my-2"/>
    <w:basedOn w:val="Normal"/>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customStyle="1" w:styleId="TOCHeading1">
    <w:name w:val="TOC Heading1"/>
    <w:basedOn w:val="Heading1"/>
    <w:next w:val="Normal"/>
    <w:uiPriority w:val="39"/>
    <w:unhideWhenUsed/>
    <w:qFormat/>
    <w:pPr>
      <w:spacing w:before="240" w:after="0"/>
      <w:outlineLvl w:val="9"/>
    </w:pPr>
    <w:rPr>
      <w:kern w:val="0"/>
      <w:sz w:val="32"/>
      <w:szCs w:val="32"/>
      <w:lang w:val="en-US"/>
      <w14:ligatures w14:val="none"/>
    </w:rPr>
  </w:style>
  <w:style w:type="table" w:customStyle="1" w:styleId="PlainTable51">
    <w:name w:val="Plain Table 51"/>
    <w:basedOn w:val="TableNormal"/>
    <w:uiPriority w:val="45"/>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ibliography1">
    <w:name w:val="Bibliography1"/>
    <w:basedOn w:val="Normal"/>
    <w:next w:val="Normal"/>
    <w:uiPriority w:val="37"/>
    <w:unhideWhenUsed/>
  </w:style>
  <w:style w:type="paragraph" w:styleId="Bibliography">
    <w:name w:val="Bibliography"/>
    <w:basedOn w:val="Normal"/>
    <w:next w:val="Normal"/>
    <w:uiPriority w:val="37"/>
    <w:unhideWhenUsed/>
    <w:rsid w:val="001E32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358155">
      <w:bodyDiv w:val="1"/>
      <w:marLeft w:val="0"/>
      <w:marRight w:val="0"/>
      <w:marTop w:val="0"/>
      <w:marBottom w:val="0"/>
      <w:divBdr>
        <w:top w:val="none" w:sz="0" w:space="0" w:color="auto"/>
        <w:left w:val="none" w:sz="0" w:space="0" w:color="auto"/>
        <w:bottom w:val="none" w:sz="0" w:space="0" w:color="auto"/>
        <w:right w:val="none" w:sz="0" w:space="0" w:color="auto"/>
      </w:divBdr>
    </w:div>
    <w:div w:id="370033911">
      <w:bodyDiv w:val="1"/>
      <w:marLeft w:val="0"/>
      <w:marRight w:val="0"/>
      <w:marTop w:val="0"/>
      <w:marBottom w:val="0"/>
      <w:divBdr>
        <w:top w:val="none" w:sz="0" w:space="0" w:color="auto"/>
        <w:left w:val="none" w:sz="0" w:space="0" w:color="auto"/>
        <w:bottom w:val="none" w:sz="0" w:space="0" w:color="auto"/>
        <w:right w:val="none" w:sz="0" w:space="0" w:color="auto"/>
      </w:divBdr>
    </w:div>
    <w:div w:id="408041437">
      <w:bodyDiv w:val="1"/>
      <w:marLeft w:val="0"/>
      <w:marRight w:val="0"/>
      <w:marTop w:val="0"/>
      <w:marBottom w:val="0"/>
      <w:divBdr>
        <w:top w:val="none" w:sz="0" w:space="0" w:color="auto"/>
        <w:left w:val="none" w:sz="0" w:space="0" w:color="auto"/>
        <w:bottom w:val="none" w:sz="0" w:space="0" w:color="auto"/>
        <w:right w:val="none" w:sz="0" w:space="0" w:color="auto"/>
      </w:divBdr>
    </w:div>
    <w:div w:id="732238627">
      <w:bodyDiv w:val="1"/>
      <w:marLeft w:val="0"/>
      <w:marRight w:val="0"/>
      <w:marTop w:val="0"/>
      <w:marBottom w:val="0"/>
      <w:divBdr>
        <w:top w:val="none" w:sz="0" w:space="0" w:color="auto"/>
        <w:left w:val="none" w:sz="0" w:space="0" w:color="auto"/>
        <w:bottom w:val="none" w:sz="0" w:space="0" w:color="auto"/>
        <w:right w:val="none" w:sz="0" w:space="0" w:color="auto"/>
      </w:divBdr>
    </w:div>
    <w:div w:id="1393695956">
      <w:bodyDiv w:val="1"/>
      <w:marLeft w:val="0"/>
      <w:marRight w:val="0"/>
      <w:marTop w:val="0"/>
      <w:marBottom w:val="0"/>
      <w:divBdr>
        <w:top w:val="none" w:sz="0" w:space="0" w:color="auto"/>
        <w:left w:val="none" w:sz="0" w:space="0" w:color="auto"/>
        <w:bottom w:val="none" w:sz="0" w:space="0" w:color="auto"/>
        <w:right w:val="none" w:sz="0" w:space="0" w:color="auto"/>
      </w:divBdr>
    </w:div>
    <w:div w:id="1758475710">
      <w:bodyDiv w:val="1"/>
      <w:marLeft w:val="0"/>
      <w:marRight w:val="0"/>
      <w:marTop w:val="0"/>
      <w:marBottom w:val="0"/>
      <w:divBdr>
        <w:top w:val="none" w:sz="0" w:space="0" w:color="auto"/>
        <w:left w:val="none" w:sz="0" w:space="0" w:color="auto"/>
        <w:bottom w:val="none" w:sz="0" w:space="0" w:color="auto"/>
        <w:right w:val="none" w:sz="0" w:space="0" w:color="auto"/>
      </w:divBdr>
    </w:div>
    <w:div w:id="18421156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7.png"/><Relationship Id="rId117" Type="http://schemas.openxmlformats.org/officeDocument/2006/relationships/image" Target="media/image47.emf"/><Relationship Id="rId21" Type="http://schemas.openxmlformats.org/officeDocument/2006/relationships/header" Target="header3.xml"/><Relationship Id="rId42" Type="http://schemas.openxmlformats.org/officeDocument/2006/relationships/image" Target="media/image22.png"/><Relationship Id="rId47" Type="http://schemas.openxmlformats.org/officeDocument/2006/relationships/image" Target="media/image27.jpeg"/><Relationship Id="rId84" Type="http://schemas.openxmlformats.org/officeDocument/2006/relationships/image" Target="media/image31.png"/><Relationship Id="rId89" Type="http://schemas.openxmlformats.org/officeDocument/2006/relationships/image" Target="media/image34.png"/><Relationship Id="rId112" Type="http://schemas.openxmlformats.org/officeDocument/2006/relationships/oleObject" Target="embeddings/oleObject8.bin"/><Relationship Id="rId133" Type="http://schemas.openxmlformats.org/officeDocument/2006/relationships/image" Target="media/image55.emf"/><Relationship Id="rId138" Type="http://schemas.openxmlformats.org/officeDocument/2006/relationships/oleObject" Target="embeddings/oleObject21.bin"/><Relationship Id="rId154" Type="http://schemas.openxmlformats.org/officeDocument/2006/relationships/oleObject" Target="embeddings/oleObject29.bin"/><Relationship Id="rId159" Type="http://schemas.openxmlformats.org/officeDocument/2006/relationships/header" Target="header11.xml"/><Relationship Id="rId170" Type="http://schemas.openxmlformats.org/officeDocument/2006/relationships/image" Target="media/image66.png"/><Relationship Id="rId16" Type="http://schemas.openxmlformats.org/officeDocument/2006/relationships/hyperlink" Target="https://www.google.com/search?q=substrat+1+du+r%C3%A9cepteur+de+l%27insuline&amp;client=opera-gx&amp;hs=k4&amp;sca_esv=539c00fc8c0dc83a&amp;biw=720&amp;bih=706&amp;sxsrf=ANbL-n4HrGP8Btyhwoy_aFMa2ozR0qKbHA%3A1774295907243&amp;ei=Y5vBafC8Dtrh7_UPp5Pd6Ao&amp;ved=2ahUKEwjHg4-157aTAxXugv0HHZrkAXIQgK4QegQIARAB&amp;uact=5&amp;oq=irs-1+BIOLOGIE&amp;gs_lp=Egxnd3Mtd2l6LXNlcnAiDmlycy0xIEJJT0xPR0lFMggQIRigARjDBDIIECEYoAEYwwRI0Q1QAFiBC3AAeAGQAQCYAaIBoAGPBaoBAzAuNbgBA8gBAPgBAZgCBaAC2wXCAgYQABgHGB7CAgQQABgewgIFEAAY7wWYAwCSBwMwLjWgB88QsgcDMC41uAfbBcIHBzItMy4xLjHIBziACAE&amp;sclient=gws-wiz-serp&amp;mstk=AUtExfCj7Qh2PJ6R3OgNoJsTK2d7yOWpSyOKTVZ6plsyR-kyCcmsDrzOs93nlcWHduUPuxfibMqUXvqZuQRI4bTwz_qTD3yAR9wFM8Fg3MnkhLp2Iej0mDcDRAiYaqWClyYT8QBogThxhGp__fa41RN4JMIuPjGRrnYyZVjEUV7Lt6iRey78SiQIGE7myLDXsRBO_IzP5qx7RctLYqfa2_WJ1_vH9kF-HcKuGcdd-Bxt0IcDCF5WVO2mFI9K8aSsbXfGfiZOQipppuKSk3WBK6HUSP4Ry8WtaAJWy07d_psp4ZfEXL4fjRpcTsvVel4xw3Xv3cT6xDYTxQnPqg0t39vgfdY21I0yNdroVXDN1bz3bTRvRKAWu3YklO_jfjT7Vu2Y4tY4dldOMxRmEYeTvE7nK7oHZoDB1F46MhD5SK15HGYHJrT_Cc3fKQWNBb8uILga&amp;csui=3" TargetMode="External"/><Relationship Id="rId107" Type="http://schemas.openxmlformats.org/officeDocument/2006/relationships/image" Target="media/image42.emf"/><Relationship Id="rId11" Type="http://schemas.openxmlformats.org/officeDocument/2006/relationships/image" Target="media/image3.png"/><Relationship Id="rId32" Type="http://schemas.openxmlformats.org/officeDocument/2006/relationships/image" Target="media/image13.png"/><Relationship Id="rId37" Type="http://schemas.openxmlformats.org/officeDocument/2006/relationships/image" Target="media/image18.png"/><Relationship Id="rId53" Type="http://schemas.openxmlformats.org/officeDocument/2006/relationships/footer" Target="footer4.xml"/><Relationship Id="rId102" Type="http://schemas.openxmlformats.org/officeDocument/2006/relationships/oleObject" Target="embeddings/oleObject3.bin"/><Relationship Id="rId123" Type="http://schemas.openxmlformats.org/officeDocument/2006/relationships/image" Target="media/image50.emf"/><Relationship Id="rId128" Type="http://schemas.openxmlformats.org/officeDocument/2006/relationships/oleObject" Target="embeddings/oleObject16.bin"/><Relationship Id="rId144" Type="http://schemas.openxmlformats.org/officeDocument/2006/relationships/oleObject" Target="embeddings/oleObject24.bin"/><Relationship Id="rId149" Type="http://schemas.openxmlformats.org/officeDocument/2006/relationships/image" Target="media/image63.emf"/><Relationship Id="rId5" Type="http://schemas.openxmlformats.org/officeDocument/2006/relationships/settings" Target="settings.xml"/><Relationship Id="rId90" Type="http://schemas.openxmlformats.org/officeDocument/2006/relationships/header" Target="header7.xml"/><Relationship Id="rId95" Type="http://schemas.openxmlformats.org/officeDocument/2006/relationships/image" Target="media/image36.emf"/><Relationship Id="rId160" Type="http://schemas.openxmlformats.org/officeDocument/2006/relationships/footer" Target="footer9.xml"/><Relationship Id="rId165" Type="http://schemas.openxmlformats.org/officeDocument/2006/relationships/header" Target="header14.xml"/><Relationship Id="rId22" Type="http://schemas.openxmlformats.org/officeDocument/2006/relationships/footer" Target="footer2.xml"/><Relationship Id="rId27" Type="http://schemas.openxmlformats.org/officeDocument/2006/relationships/image" Target="media/image8.png"/><Relationship Id="rId43" Type="http://schemas.openxmlformats.org/officeDocument/2006/relationships/image" Target="media/image23.png"/><Relationship Id="rId48" Type="http://schemas.openxmlformats.org/officeDocument/2006/relationships/image" Target="media/image28.png"/><Relationship Id="rId113" Type="http://schemas.openxmlformats.org/officeDocument/2006/relationships/image" Target="media/image45.emf"/><Relationship Id="rId118" Type="http://schemas.openxmlformats.org/officeDocument/2006/relationships/oleObject" Target="embeddings/oleObject11.bin"/><Relationship Id="rId134" Type="http://schemas.openxmlformats.org/officeDocument/2006/relationships/oleObject" Target="embeddings/oleObject19.bin"/><Relationship Id="rId139" Type="http://schemas.openxmlformats.org/officeDocument/2006/relationships/image" Target="media/image58.emf"/><Relationship Id="rId80" Type="http://schemas.openxmlformats.org/officeDocument/2006/relationships/image" Target="media/image29.png"/><Relationship Id="rId85" Type="http://schemas.openxmlformats.org/officeDocument/2006/relationships/customXml" Target="ink/ink4.xml"/><Relationship Id="rId150" Type="http://schemas.openxmlformats.org/officeDocument/2006/relationships/oleObject" Target="embeddings/oleObject27.bin"/><Relationship Id="rId155" Type="http://schemas.openxmlformats.org/officeDocument/2006/relationships/header" Target="header9.xml"/><Relationship Id="rId171" Type="http://schemas.openxmlformats.org/officeDocument/2006/relationships/header" Target="header17.xml"/><Relationship Id="rId3" Type="http://schemas.openxmlformats.org/officeDocument/2006/relationships/numbering" Target="numbering.xml"/><Relationship Id="rId12" Type="http://schemas.openxmlformats.org/officeDocument/2006/relationships/header" Target="header1.xml"/><Relationship Id="rId17" Type="http://schemas.openxmlformats.org/officeDocument/2006/relationships/hyperlink" Target="https://www.google.com/search?q=mechanistic+Target+of+Rapamycin&amp;client=opera-gx&amp;hs=64&amp;sca_esv=539c00fc8c0dc83a&amp;biw=720&amp;bih=706&amp;sxsrf=ANbL-n4R-c_f6xpTRi0sivfa9y6v1jP-Tw%3A1774295929854&amp;ei=eZvBaerwM5a79u8Pn7bnsQE&amp;ved=2ahUKEwjRlv7I57aTAxWUTKQEHYgKJ4YQgK4QegQIARAB&amp;uact=5&amp;oq=mtor+BIOLOGIE&amp;gs_lp=Egxnd3Mtd2l6LXNlcnAiDW10b3IgQklPTE9HSUUyBBAAGB4yBRAAGO8FMgUQABjvBTIFEAAY7wUyCBAAGIAEGKIESJELUABY4QhwAHgBkAEAmAGTAqAB_QWqAQUwLjIuMrgBA8gBAPgBAZgCBKACxQbCAgYQABgHGB7CAgcQABiABBgNwgIIEAAYBRgeGA3CAggQABgIGB4YDZgDAJIHBTAuMi4yoAedFLIHBTAuMi4yuAfFBsIHBzItMS4yLjHIBzaACAE&amp;sclient=gws-wiz-serp&amp;mstk=AUtExfCF7QL8_E__JhgLYXtKjwDeyVKGBAtwc5Pl8tqjAUhEhZQwh-x1l-c6b-fGFZkyKYYnZuTSH94V0RryRiI8BB2SeGObVJYMMtJf8vSMibd-QEy5aaJapHhZtxlCxAxHIBpNrZCVN7J0YD6u5ThWEnebaBYvC_uvafzhmg47flhbGfNJXHVp-fhlsw5cJ6G91lcRhTSQjGEcOsObqGEAOhgG0jcjUGoyuZLU8_oDldg5jECI_JkWggM2IlKAvvaUmGRkDBiKJMYXBxTvKi5NYas_JK4W_Vk4l_V5gS-IHR2grS9MHYwwjzCF9RpnIvuow3_YmcffnUqWOs_exYvFQLIzIjQ97VTDe3_j9o3dehCV0LX09Vtz37MeF2AleughOCmRBRLUir_QCOz4HCu9CkCfZCTmA-hopPrWOogpYjTSrRAJ5xTIJbnjLy1_CPqA&amp;csui=3" TargetMode="External"/><Relationship Id="rId25" Type="http://schemas.openxmlformats.org/officeDocument/2006/relationships/image" Target="media/image6.png"/><Relationship Id="rId33" Type="http://schemas.openxmlformats.org/officeDocument/2006/relationships/image" Target="media/image14.png"/><Relationship Id="rId38" Type="http://schemas.openxmlformats.org/officeDocument/2006/relationships/hyperlink" Target="https://www.google.com/search?q=Azote+Ur%C3%A9ique+Sanguin&amp;client=opera-gx&amp;sca_esv=7510c8a0c527f380&amp;biw=1491&amp;bih=710&amp;sxsrf=ANbL-n5jj9NeQrwPgPookRfvTnFIHSzc1g%3A1774289977374&amp;ei=OYTBaaW_FpaI9u8P2uPF-Q0&amp;ved=2ahUKEwi_5-yj0baTAxVJnycCHbfoHioQgK4QegQIARAB&amp;uact=5&amp;oq=BUN+biologie&amp;gs_lp=Egxnd3Mtd2l6LXNlcnAiDEJVTiBiaW9sb2dpZTIFEAAYgAQyBhAAGBYYHjIFEAAY7wUyCBAAGIAEGKIEMgUQABjvBUiNMFCRAVi1KnAEeAGQAQCYAYkCoAGNDqoBBjAuMTAuMrgBA8gBAPgBAZgCD6AC4g_CAgQQIxgnwgIKEAAYgAQYigUYQ8ICBRAuGIAEwgIKEAAYgAQYFBiHAsICChAuGIAEGBQYhwLCAgsQLhiABBjHARivAcICChAuGBQYhwIYgATCAgkQLhgKGAsYgATCAgcQABiABBgKwgIJEAAYgAQYChgLwgIIEAAYFhgeGAqYAwCIBgGSBwUzLjkuM6AH72yyBwUwLjkuM7gHrA_CBwgyLTMuMTEuMcgHqgGACAE&amp;sclient=gws-wiz-serp&amp;mstk=AUtExfDPWafF2ZilU6yzXxbv8b5m94bFzXMb7jbZl_Cq2j4f8YvByr-zjsMZB4iFvs3GQbWWwK5LL4e3VBuQLowSdKJ4co4LD-fSdaRlh1SNGTCXLsrKx-DY755dTL53i_-lsscDe-Sr7hEED_nEoHpQKMFIjKEg2-ljOEi8V4XwhFYToInkPRlgDoLNeErVnGVmqbPhxTXfL-W2VNIfo0gG-xbEELJOsWm_zd6f2EqMoghlXZEOlvyKZgRxghhHtqK-E2NSgKq3CoE3BnbJSw4D7v7yGtOwsbxLrUhR5WUTbAfSwg&amp;csui=3" TargetMode="External"/><Relationship Id="rId46" Type="http://schemas.openxmlformats.org/officeDocument/2006/relationships/image" Target="media/image26.jpeg"/><Relationship Id="rId103" Type="http://schemas.openxmlformats.org/officeDocument/2006/relationships/image" Target="media/image40.emf"/><Relationship Id="rId108" Type="http://schemas.openxmlformats.org/officeDocument/2006/relationships/oleObject" Target="embeddings/oleObject6.bin"/><Relationship Id="rId116" Type="http://schemas.openxmlformats.org/officeDocument/2006/relationships/oleObject" Target="embeddings/oleObject10.bin"/><Relationship Id="rId124" Type="http://schemas.openxmlformats.org/officeDocument/2006/relationships/oleObject" Target="embeddings/oleObject14.bin"/><Relationship Id="rId129" Type="http://schemas.openxmlformats.org/officeDocument/2006/relationships/image" Target="media/image53.emf"/><Relationship Id="rId137" Type="http://schemas.openxmlformats.org/officeDocument/2006/relationships/image" Target="media/image57.emf"/><Relationship Id="rId158" Type="http://schemas.openxmlformats.org/officeDocument/2006/relationships/footer" Target="footer8.xml"/><Relationship Id="rId20" Type="http://schemas.openxmlformats.org/officeDocument/2006/relationships/footer" Target="footer1.xml"/><Relationship Id="rId41" Type="http://schemas.openxmlformats.org/officeDocument/2006/relationships/image" Target="media/image21.png"/><Relationship Id="rId54" Type="http://schemas.openxmlformats.org/officeDocument/2006/relationships/customXml" Target="ink/ink1.xml"/><Relationship Id="rId83" Type="http://schemas.openxmlformats.org/officeDocument/2006/relationships/customXml" Target="ink/ink3.xml"/><Relationship Id="rId88" Type="http://schemas.openxmlformats.org/officeDocument/2006/relationships/image" Target="media/image33.png"/><Relationship Id="rId91" Type="http://schemas.openxmlformats.org/officeDocument/2006/relationships/footer" Target="footer5.xml"/><Relationship Id="rId96" Type="http://schemas.openxmlformats.org/officeDocument/2006/relationships/oleObject" Target="embeddings/oleObject1.bin"/><Relationship Id="rId111" Type="http://schemas.openxmlformats.org/officeDocument/2006/relationships/image" Target="media/image44.emf"/><Relationship Id="rId132" Type="http://schemas.openxmlformats.org/officeDocument/2006/relationships/oleObject" Target="embeddings/oleObject18.bin"/><Relationship Id="rId140" Type="http://schemas.openxmlformats.org/officeDocument/2006/relationships/oleObject" Target="embeddings/oleObject22.bin"/><Relationship Id="rId145" Type="http://schemas.openxmlformats.org/officeDocument/2006/relationships/image" Target="media/image61.emf"/><Relationship Id="rId153" Type="http://schemas.openxmlformats.org/officeDocument/2006/relationships/image" Target="media/image65.emf"/><Relationship Id="rId161" Type="http://schemas.openxmlformats.org/officeDocument/2006/relationships/header" Target="header12.xml"/><Relationship Id="rId166" Type="http://schemas.openxmlformats.org/officeDocument/2006/relationships/footer" Target="footer12.xml"/><Relationship Id="rId17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google.com/search?q=%C3%A9lectrocardiogramme&amp;client=opera-gx&amp;hs=gx8&amp;sca_esv=7510c8a0c527f380&amp;biw=1491&amp;bih=710&amp;sxsrf=ANbL-n7dgiJfonmADKIZ4e_JX-IbDsAmow%3A1774287787935&amp;ei=q3vBabDfOPTKkdUPy_bnuQg&amp;ved=2ahUKEwj3_u-sybaTAxVqVaQEHUPhBTgQgK4QegYIAQgAEAM&amp;uact=5&amp;oq=ecg&amp;gs_lp=Egxnd3Mtd2l6LXNlcnAiA2VjZzINEAAYgAQYigUYQxixAzIKEAAYgAQYigUYQzIKEAAYgAQYigUYQzIFEAAYgAQyBRAAGIAEMgUQABiABDIFEAAYgAQyBRAAGIAEMgUQABiABDIFEAAYgARIiwZQAFi9A3AAeAGQAQCYAX2gAecCqgEDMC4zuAEDyAEA-AEBmAIDoAL-AsICBBAjGCfCAggQABiABBixA8ICCxAAGIAEGLEDGIMBwgIFEC4YgATCAgoQIxjwBRjJAhgnmAMAkgcDMC4zoAe_FbIHAzAuM7gH_gLCBwUyLTIuMcgHEoAIAQ&amp;sclient=gws-wiz-serp&amp;mstk=AUtExfAHB434EJTaKsG438htu--RCVes0zbcR-nH6mDj2Bpuk9p8NDLKdGXPxOElb5n13zH5yEI58OdubJU5H1U7ev0DtEZ5gtZaMMCMa6JypMtbAMHon7NNimuuwZZJSn07GJU&amp;csui=3" TargetMode="External"/><Relationship Id="rId23" Type="http://schemas.openxmlformats.org/officeDocument/2006/relationships/image" Target="media/image4.png"/><Relationship Id="rId28" Type="http://schemas.openxmlformats.org/officeDocument/2006/relationships/image" Target="media/image9.jpeg"/><Relationship Id="rId36" Type="http://schemas.openxmlformats.org/officeDocument/2006/relationships/image" Target="media/image17.png"/><Relationship Id="rId49" Type="http://schemas.openxmlformats.org/officeDocument/2006/relationships/header" Target="header4.xml"/><Relationship Id="rId106" Type="http://schemas.openxmlformats.org/officeDocument/2006/relationships/oleObject" Target="embeddings/oleObject5.bin"/><Relationship Id="rId114" Type="http://schemas.openxmlformats.org/officeDocument/2006/relationships/oleObject" Target="embeddings/oleObject9.bin"/><Relationship Id="rId119" Type="http://schemas.openxmlformats.org/officeDocument/2006/relationships/image" Target="media/image48.emf"/><Relationship Id="rId127" Type="http://schemas.openxmlformats.org/officeDocument/2006/relationships/image" Target="media/image52.emf"/><Relationship Id="rId10" Type="http://schemas.openxmlformats.org/officeDocument/2006/relationships/image" Target="media/image2.png"/><Relationship Id="rId31" Type="http://schemas.openxmlformats.org/officeDocument/2006/relationships/image" Target="media/image12.jpeg"/><Relationship Id="rId44" Type="http://schemas.openxmlformats.org/officeDocument/2006/relationships/image" Target="media/image24.jpeg"/><Relationship Id="rId52" Type="http://schemas.openxmlformats.org/officeDocument/2006/relationships/header" Target="header6.xml"/><Relationship Id="rId81" Type="http://schemas.openxmlformats.org/officeDocument/2006/relationships/customXml" Target="ink/ink2.xml"/><Relationship Id="rId86" Type="http://schemas.openxmlformats.org/officeDocument/2006/relationships/image" Target="media/image32.png"/><Relationship Id="rId94" Type="http://schemas.openxmlformats.org/officeDocument/2006/relationships/image" Target="media/image35.png"/><Relationship Id="rId99" Type="http://schemas.openxmlformats.org/officeDocument/2006/relationships/image" Target="media/image38.emf"/><Relationship Id="rId101" Type="http://schemas.openxmlformats.org/officeDocument/2006/relationships/image" Target="media/image39.emf"/><Relationship Id="rId122" Type="http://schemas.openxmlformats.org/officeDocument/2006/relationships/oleObject" Target="embeddings/oleObject13.bin"/><Relationship Id="rId130" Type="http://schemas.openxmlformats.org/officeDocument/2006/relationships/oleObject" Target="embeddings/oleObject17.bin"/><Relationship Id="rId135" Type="http://schemas.openxmlformats.org/officeDocument/2006/relationships/image" Target="media/image56.emf"/><Relationship Id="rId143" Type="http://schemas.openxmlformats.org/officeDocument/2006/relationships/image" Target="media/image60.emf"/><Relationship Id="rId148" Type="http://schemas.openxmlformats.org/officeDocument/2006/relationships/oleObject" Target="embeddings/oleObject26.bin"/><Relationship Id="rId151" Type="http://schemas.openxmlformats.org/officeDocument/2006/relationships/image" Target="media/image64.emf"/><Relationship Id="rId156" Type="http://schemas.openxmlformats.org/officeDocument/2006/relationships/footer" Target="footer7.xml"/><Relationship Id="rId164" Type="http://schemas.openxmlformats.org/officeDocument/2006/relationships/footer" Target="footer11.xml"/><Relationship Id="rId169" Type="http://schemas.openxmlformats.org/officeDocument/2006/relationships/footer" Target="footer13.xml"/><Relationship Id="rId4" Type="http://schemas.openxmlformats.org/officeDocument/2006/relationships/styles" Target="styles.xml"/><Relationship Id="rId9" Type="http://schemas.openxmlformats.org/officeDocument/2006/relationships/image" Target="media/image1.emf"/><Relationship Id="rId172" Type="http://schemas.openxmlformats.org/officeDocument/2006/relationships/footer" Target="footer14.xml"/><Relationship Id="rId13" Type="http://schemas.openxmlformats.org/officeDocument/2006/relationships/hyperlink" Target="https://www.google.com/search?q=Azote+Ur%C3%A9ique+Sanguin&amp;client=opera-gx&amp;sca_esv=7510c8a0c527f380&amp;biw=1491&amp;bih=710&amp;sxsrf=ANbL-n5jj9NeQrwPgPookRfvTnFIHSzc1g%3A1774289977374&amp;ei=OYTBaaW_FpaI9u8P2uPF-Q0&amp;ved=2ahUKEwi_5-yj0baTAxVJnycCHbfoHioQgK4QegQIARAB&amp;uact=5&amp;oq=BUN+biologie&amp;gs_lp=Egxnd3Mtd2l6LXNlcnAiDEJVTiBiaW9sb2dpZTIFEAAYgAQyBhAAGBYYHjIFEAAY7wUyCBAAGIAEGKIEMgUQABjvBUiNMFCRAVi1KnAEeAGQAQCYAYkCoAGNDqoBBjAuMTAuMrgBA8gBAPgBAZgCD6AC4g_CAgQQIxgnwgIKEAAYgAQYigUYQ8ICBRAuGIAEwgIKEAAYgAQYFBiHAsICChAuGIAEGBQYhwLCAgsQLhiABBjHARivAcICChAuGBQYhwIYgATCAgkQLhgKGAsYgATCAgcQABiABBgKwgIJEAAYgAQYChgLwgIIEAAYFhgeGAqYAwCIBgGSBwUzLjkuM6AH72yyBwUwLjkuM7gHrA_CBwgyLTMuMTEuMcgHqgGACAE&amp;sclient=gws-wiz-serp&amp;mstk=AUtExfDPWafF2ZilU6yzXxbv8b5m94bFzXMb7jbZl_Cq2j4f8YvByr-zjsMZB4iFvs3GQbWWwK5LL4e3VBuQLowSdKJ4co4LD-fSdaRlh1SNGTCXLsrKx-DY755dTL53i_-lsscDe-Sr7hEED_nEoHpQKMFIjKEg2-ljOEi8V4XwhFYToInkPRlgDoLNeErVnGVmqbPhxTXfL-W2VNIfo0gG-xbEELJOsWm_zd6f2EqMoghlXZEOlvyKZgRxghhHtqK-E2NSgKq3CoE3BnbJSw4D7v7yGtOwsbxLrUhR5WUTbAfSwg&amp;csui=3" TargetMode="External"/><Relationship Id="rId18" Type="http://schemas.openxmlformats.org/officeDocument/2006/relationships/hyperlink" Target="https://www.google.com/search?q=esp%C3%A8ces+r%C3%A9actives+de+l%27oxyg%C3%A8ne&amp;client=opera-gx&amp;hs=7Co&amp;sca_esv=7510c8a0c527f380&amp;biw=1491&amp;bih=710&amp;sxsrf=ANbL-n4_q8f-NzFaMjzD8VakNK5gCHCAHg%3A1774287461908&amp;ei=ZXrBaeSaN72gkdUP8uuL8QQ&amp;oq=ROS+stress&amp;gs_lp=Egxnd3Mtd2l6LXNlcnAiClJPUyBzdHJlc3MqAggAMgoQABiABBiKBRhDMgYQABgWGB4yBhAAGBYYHjIGEAAYFhgeMgYQABgWGB4yBhAAGBYYHjIGEAAYFhgeMgYQABgWGB4yBhAAGBYYHjIGEAAYFhgeSMoTUMMBWIYKcAF4AZABAJgBvgGgAaoIqgEDMC43uAEDyAEA-AEBmAIIoAKVCcICChAAGEcY1gQYsAPCAg0QABiABBiKBRhDGLADwgIOEAAY5AIY1gQYsAPYAQHCAhMQLhiABBiKBRhDGMgDGLAD2AEBwgIKEC4YgAQYigUYQ8ICBRAAGIAEwgIFEC4YgATCAgcQLhiABBgKwgIKEAAYgAQYFBiHAsICDxAuGIAEGAoYCxixAxiDAcICCRAuGIAEGAoYC8ICCRAAGIAEGAoYC5gDAIgGAZAGEroGBggBEAEYCZIHBTEuNi4xoAfnTrIHBTAuNi4xuAeECcIHBTItNC40yAdMgAgB&amp;sclient=gws-wiz-serp&amp;mstk=AUtExfDwq_5q7n9aVo9PXqeGrg2fI1NrrUTmDnSPIxo91gvUAkYxHzxeAZzVlfjHpK9yFUlbwtc68k4rgmTXb_2hUq458hv6ODclkXBYK28C2_KqPTsUEs5dtEs84UeBs32028I&amp;csui=3&amp;ved=2ahUKEwj32rXxx7aTAxV1TKQEHUvaJTgQgK4QegYIAQgAEAQ" TargetMode="External"/><Relationship Id="rId39" Type="http://schemas.openxmlformats.org/officeDocument/2006/relationships/image" Target="media/image19.png"/><Relationship Id="rId109" Type="http://schemas.openxmlformats.org/officeDocument/2006/relationships/image" Target="media/image43.emf"/><Relationship Id="rId34" Type="http://schemas.openxmlformats.org/officeDocument/2006/relationships/image" Target="media/image15.png"/><Relationship Id="rId50" Type="http://schemas.openxmlformats.org/officeDocument/2006/relationships/header" Target="header5.xml"/><Relationship Id="rId97" Type="http://schemas.openxmlformats.org/officeDocument/2006/relationships/image" Target="media/image37.png"/><Relationship Id="rId104" Type="http://schemas.openxmlformats.org/officeDocument/2006/relationships/oleObject" Target="embeddings/oleObject4.bin"/><Relationship Id="rId120" Type="http://schemas.openxmlformats.org/officeDocument/2006/relationships/oleObject" Target="embeddings/oleObject12.bin"/><Relationship Id="rId125" Type="http://schemas.openxmlformats.org/officeDocument/2006/relationships/image" Target="media/image51.emf"/><Relationship Id="rId141" Type="http://schemas.openxmlformats.org/officeDocument/2006/relationships/image" Target="media/image59.emf"/><Relationship Id="rId146" Type="http://schemas.openxmlformats.org/officeDocument/2006/relationships/oleObject" Target="embeddings/oleObject25.bin"/><Relationship Id="rId167" Type="http://schemas.openxmlformats.org/officeDocument/2006/relationships/header" Target="header15.xml"/><Relationship Id="rId7" Type="http://schemas.openxmlformats.org/officeDocument/2006/relationships/footnotes" Target="footnotes.xml"/><Relationship Id="rId92" Type="http://schemas.openxmlformats.org/officeDocument/2006/relationships/header" Target="header8.xml"/><Relationship Id="rId162" Type="http://schemas.openxmlformats.org/officeDocument/2006/relationships/footer" Target="footer10.xml"/><Relationship Id="rId2" Type="http://schemas.openxmlformats.org/officeDocument/2006/relationships/customXml" Target="../customXml/item2.xml"/><Relationship Id="rId29" Type="http://schemas.openxmlformats.org/officeDocument/2006/relationships/image" Target="media/image10.png"/><Relationship Id="rId24" Type="http://schemas.openxmlformats.org/officeDocument/2006/relationships/image" Target="media/image5.png"/><Relationship Id="rId40" Type="http://schemas.openxmlformats.org/officeDocument/2006/relationships/image" Target="media/image20.png"/><Relationship Id="rId45" Type="http://schemas.openxmlformats.org/officeDocument/2006/relationships/image" Target="media/image25.png"/><Relationship Id="rId87" Type="http://schemas.openxmlformats.org/officeDocument/2006/relationships/customXml" Target="ink/ink5.xml"/><Relationship Id="rId110" Type="http://schemas.openxmlformats.org/officeDocument/2006/relationships/oleObject" Target="embeddings/oleObject7.bin"/><Relationship Id="rId115" Type="http://schemas.openxmlformats.org/officeDocument/2006/relationships/image" Target="media/image46.emf"/><Relationship Id="rId131" Type="http://schemas.openxmlformats.org/officeDocument/2006/relationships/image" Target="media/image54.emf"/><Relationship Id="rId136" Type="http://schemas.openxmlformats.org/officeDocument/2006/relationships/oleObject" Target="embeddings/oleObject20.bin"/><Relationship Id="rId157" Type="http://schemas.openxmlformats.org/officeDocument/2006/relationships/header" Target="header10.xml"/><Relationship Id="rId82" Type="http://schemas.openxmlformats.org/officeDocument/2006/relationships/image" Target="media/image30.png"/><Relationship Id="rId152" Type="http://schemas.openxmlformats.org/officeDocument/2006/relationships/oleObject" Target="embeddings/oleObject28.bin"/><Relationship Id="rId173" Type="http://schemas.openxmlformats.org/officeDocument/2006/relationships/fontTable" Target="fontTable.xml"/><Relationship Id="rId19" Type="http://schemas.openxmlformats.org/officeDocument/2006/relationships/header" Target="header2.xml"/><Relationship Id="rId14" Type="http://schemas.openxmlformats.org/officeDocument/2006/relationships/hyperlink" Target="https://www.google.com/url?sa=i&amp;source=web&amp;rct=j&amp;url=https://www.livi.fr/sante/proteine-c-reactive/&amp;ved=2ahUKEwjcuOevyLaTAxW12wIHHXkOMNcQy_kOegYIAQgAEAM&amp;opi=89978449&amp;cd&amp;psig=AOvVaw02kCu_VXIfKZEQxeYr8RCe&amp;ust=1774373997659000" TargetMode="External"/><Relationship Id="rId30" Type="http://schemas.openxmlformats.org/officeDocument/2006/relationships/image" Target="media/image11.png"/><Relationship Id="rId35" Type="http://schemas.openxmlformats.org/officeDocument/2006/relationships/image" Target="media/image16.png"/><Relationship Id="rId100" Type="http://schemas.openxmlformats.org/officeDocument/2006/relationships/oleObject" Target="embeddings/oleObject2.bin"/><Relationship Id="rId105" Type="http://schemas.openxmlformats.org/officeDocument/2006/relationships/image" Target="media/image41.emf"/><Relationship Id="rId126" Type="http://schemas.openxmlformats.org/officeDocument/2006/relationships/oleObject" Target="embeddings/oleObject15.bin"/><Relationship Id="rId147" Type="http://schemas.openxmlformats.org/officeDocument/2006/relationships/image" Target="media/image62.emf"/><Relationship Id="rId168" Type="http://schemas.openxmlformats.org/officeDocument/2006/relationships/header" Target="header16.xml"/><Relationship Id="rId8" Type="http://schemas.openxmlformats.org/officeDocument/2006/relationships/endnotes" Target="endnotes.xml"/><Relationship Id="rId51" Type="http://schemas.openxmlformats.org/officeDocument/2006/relationships/footer" Target="footer3.xml"/><Relationship Id="rId93" Type="http://schemas.openxmlformats.org/officeDocument/2006/relationships/footer" Target="footer6.xml"/><Relationship Id="rId98" Type="http://schemas.openxmlformats.org/officeDocument/2006/relationships/chart" Target="charts/chart1.xml"/><Relationship Id="rId121" Type="http://schemas.openxmlformats.org/officeDocument/2006/relationships/image" Target="media/image49.emf"/><Relationship Id="rId142" Type="http://schemas.openxmlformats.org/officeDocument/2006/relationships/oleObject" Target="embeddings/oleObject23.bin"/><Relationship Id="rId163" Type="http://schemas.openxmlformats.org/officeDocument/2006/relationships/header" Target="header1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nadia\Desktop\qst.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rot="0" spcFirstLastPara="1" vertOverflow="ellipsis" vert="horz" wrap="square" anchor="ctr" anchorCtr="1"/>
          <a:lstStyle/>
          <a:p>
            <a:pPr>
              <a:defRPr lang="fr-FR" sz="1800" b="1" i="0" u="none" strike="noStrike" kern="1200" baseline="0">
                <a:solidFill>
                  <a:schemeClr val="dk1">
                    <a:lumMod val="65000"/>
                    <a:lumOff val="35000"/>
                  </a:schemeClr>
                </a:solidFill>
                <a:latin typeface="+mn-lt"/>
                <a:ea typeface="+mn-ea"/>
                <a:cs typeface="+mn-cs"/>
              </a:defRPr>
            </a:pPr>
            <a:r>
              <a:rPr lang="fr-FR"/>
              <a:t>Type</a:t>
            </a:r>
            <a:r>
              <a:rPr lang="fr-FR" baseline="0"/>
              <a:t> de diabète</a:t>
            </a:r>
            <a:endParaRPr lang="fr-FR"/>
          </a:p>
        </c:rich>
      </c:tx>
      <c:layout>
        <c:manualLayout>
          <c:xMode val="edge"/>
          <c:yMode val="edge"/>
          <c:x val="3.1725421103187199E-2"/>
          <c:y val="0.10458525259908399"/>
        </c:manualLayout>
      </c:layout>
      <c:overlay val="0"/>
      <c:spPr>
        <a:noFill/>
        <a:ln>
          <a:noFill/>
        </a:ln>
        <a:effectLst/>
      </c:spPr>
      <c:txPr>
        <a:bodyPr rot="0" spcFirstLastPara="1" vertOverflow="ellipsis" vert="horz" wrap="square" anchor="ctr" anchorCtr="1"/>
        <a:lstStyle/>
        <a:p>
          <a:pPr>
            <a:defRPr lang="fr-FR" sz="1800" b="1" i="0" u="none" strike="noStrike" kern="1200" baseline="0">
              <a:solidFill>
                <a:schemeClr val="dk1">
                  <a:lumMod val="65000"/>
                  <a:lumOff val="35000"/>
                </a:schemeClr>
              </a:solidFill>
              <a:latin typeface="+mn-lt"/>
              <a:ea typeface="+mn-ea"/>
              <a:cs typeface="+mn-cs"/>
            </a:defRPr>
          </a:pPr>
          <a:endParaRPr lang="fr-FR"/>
        </a:p>
      </c:txPr>
    </c:title>
    <c:autoTitleDeleted val="0"/>
    <c:plotArea>
      <c:layout>
        <c:manualLayout>
          <c:layoutTarget val="inner"/>
          <c:xMode val="edge"/>
          <c:yMode val="edge"/>
          <c:x val="0.26395099380607001"/>
          <c:y val="3.9670268227238799E-2"/>
          <c:w val="0.492321921315936"/>
          <c:h val="0.877923197565603"/>
        </c:manualLayout>
      </c:layout>
      <c:pieChart>
        <c:varyColors val="1"/>
        <c:ser>
          <c:idx val="0"/>
          <c:order val="0"/>
          <c:dPt>
            <c:idx val="0"/>
            <c:bubble3D val="0"/>
            <c:spPr>
              <a:solidFill>
                <a:schemeClr val="accent1">
                  <a:shade val="65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0C4C-4EF2-9029-5F68CDDB3FD6}"/>
              </c:ext>
            </c:extLst>
          </c:dPt>
          <c:dPt>
            <c:idx val="1"/>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0C4C-4EF2-9029-5F68CDDB3FD6}"/>
              </c:ext>
            </c:extLst>
          </c:dPt>
          <c:dPt>
            <c:idx val="2"/>
            <c:bubble3D val="0"/>
            <c:spPr>
              <a:solidFill>
                <a:schemeClr val="accent1">
                  <a:tint val="65000"/>
                </a:schemeClr>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0C4C-4EF2-9029-5F68CDDB3FD6}"/>
              </c:ext>
            </c:extLst>
          </c:dPt>
          <c:dLbls>
            <c:dLbl>
              <c:idx val="0"/>
              <c:tx>
                <c:rich>
                  <a:bodyPr/>
                  <a:lstStyle/>
                  <a:p>
                    <a:r>
                      <a:rPr lang="en-US"/>
                      <a:t>[VALUE]</a:t>
                    </a:r>
                  </a:p>
                </c:rich>
              </c:tx>
              <c:dLblPos val="inEnd"/>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1-0C4C-4EF2-9029-5F68CDDB3FD6}"/>
                </c:ext>
              </c:extLst>
            </c:dLbl>
            <c:dLbl>
              <c:idx val="1"/>
              <c:tx>
                <c:rich>
                  <a:bodyPr/>
                  <a:lstStyle/>
                  <a:p>
                    <a:r>
                      <a:rPr lang="en-US"/>
                      <a:t>[VALUE]</a:t>
                    </a:r>
                  </a:p>
                </c:rich>
              </c:tx>
              <c:dLblPos val="inEnd"/>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3-0C4C-4EF2-9029-5F68CDDB3FD6}"/>
                </c:ext>
              </c:extLst>
            </c:dLbl>
            <c:dLbl>
              <c:idx val="2"/>
              <c:tx>
                <c:rich>
                  <a:bodyPr/>
                  <a:lstStyle/>
                  <a:p>
                    <a:r>
                      <a:rPr lang="en-US"/>
                      <a:t>[VALUE]</a:t>
                    </a:r>
                  </a:p>
                </c:rich>
              </c:tx>
              <c:dLblPos val="inEnd"/>
              <c:showLegendKey val="0"/>
              <c:showVal val="0"/>
              <c:showCatName val="0"/>
              <c:showSerName val="0"/>
              <c:showPercent val="1"/>
              <c:showBubbleSize val="0"/>
              <c:extLst>
                <c:ext xmlns:c15="http://schemas.microsoft.com/office/drawing/2012/chart" uri="{CE6537A1-D6FC-4f65-9D91-7224C49458BB}">
                  <c15:showDataLabelsRange val="0"/>
                </c:ext>
                <c:ext xmlns:c16="http://schemas.microsoft.com/office/drawing/2014/chart" uri="{C3380CC4-5D6E-409C-BE32-E72D297353CC}">
                  <c16:uniqueId val="{00000005-0C4C-4EF2-9029-5F68CDDB3FD6}"/>
                </c:ext>
              </c:extLst>
            </c:dLbl>
            <c:spPr>
              <a:noFill/>
              <a:ln>
                <a:noFill/>
              </a:ln>
              <a:effectLst/>
            </c:spPr>
            <c:txPr>
              <a:bodyPr rot="0" spcFirstLastPara="1" vertOverflow="ellipsis" vert="horz" wrap="square" lIns="38100" tIns="19050" rIns="38100" bIns="19050" anchor="ctr" anchorCtr="1">
                <a:spAutoFit/>
              </a:bodyPr>
              <a:lstStyle/>
              <a:p>
                <a:pPr>
                  <a:defRPr lang="fr-FR" sz="900" b="1" i="0" u="none" strike="noStrike" kern="1200" baseline="0">
                    <a:solidFill>
                      <a:schemeClr val="lt1"/>
                    </a:solidFill>
                    <a:latin typeface="+mn-lt"/>
                    <a:ea typeface="+mn-ea"/>
                    <a:cs typeface="+mn-cs"/>
                  </a:defRPr>
                </a:pPr>
                <a:endParaRPr lang="fr-FR"/>
              </a:p>
            </c:txPr>
            <c:dLblPos val="in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extLst>
          </c:dLbls>
          <c:cat>
            <c:strRef>
              <c:f>Sheet1!$E$77:$E$79</c:f>
              <c:strCache>
                <c:ptCount val="3"/>
                <c:pt idx="0">
                  <c:v>DT1</c:v>
                </c:pt>
                <c:pt idx="1">
                  <c:v>DT2</c:v>
                </c:pt>
                <c:pt idx="2">
                  <c:v>Inaugural</c:v>
                </c:pt>
              </c:strCache>
            </c:strRef>
          </c:cat>
          <c:val>
            <c:numRef>
              <c:f>Sheet1!$F$77:$F$79</c:f>
              <c:numCache>
                <c:formatCode>0.00%</c:formatCode>
                <c:ptCount val="3"/>
                <c:pt idx="0">
                  <c:v>0.375</c:v>
                </c:pt>
                <c:pt idx="1">
                  <c:v>0.40629999999999999</c:v>
                </c:pt>
                <c:pt idx="2">
                  <c:v>0.21879999999999999</c:v>
                </c:pt>
              </c:numCache>
            </c:numRef>
          </c:val>
          <c:extLst>
            <c:ext xmlns:c16="http://schemas.microsoft.com/office/drawing/2014/chart" uri="{C3380CC4-5D6E-409C-BE32-E72D297353CC}">
              <c16:uniqueId val="{00000006-0C4C-4EF2-9029-5F68CDDB3FD6}"/>
            </c:ext>
          </c:extLst>
        </c:ser>
        <c:dLbls>
          <c:showLegendKey val="0"/>
          <c:showVal val="0"/>
          <c:showCatName val="0"/>
          <c:showSerName val="0"/>
          <c:showPercent val="1"/>
          <c:showBubbleSize val="0"/>
          <c:showLeaderLines val="1"/>
        </c:dLbls>
        <c:firstSliceAng val="0"/>
      </c:pieChart>
      <c:spPr>
        <a:noFill/>
        <a:ln>
          <a:noFill/>
        </a:ln>
        <a:effectLst/>
      </c:spPr>
    </c:plotArea>
    <c:legend>
      <c:legendPos val="b"/>
      <c:overlay val="0"/>
      <c:spPr>
        <a:solidFill>
          <a:schemeClr val="lt1">
            <a:alpha val="78000"/>
          </a:schemeClr>
        </a:solidFill>
        <a:ln>
          <a:noFill/>
        </a:ln>
        <a:effectLst/>
      </c:spPr>
      <c:txPr>
        <a:bodyPr rot="0" spcFirstLastPara="1" vertOverflow="ellipsis" vert="horz" wrap="square" anchor="ctr" anchorCtr="1"/>
        <a:lstStyle/>
        <a:p>
          <a:pPr>
            <a:defRPr lang="fr-FR" sz="900" b="0" i="0" u="none" strike="noStrike" kern="1200" baseline="0">
              <a:solidFill>
                <a:schemeClr val="dk1">
                  <a:lumMod val="65000"/>
                  <a:lumOff val="35000"/>
                </a:schemeClr>
              </a:solidFill>
              <a:latin typeface="+mn-lt"/>
              <a:ea typeface="+mn-ea"/>
              <a:cs typeface="+mn-cs"/>
            </a:defRPr>
          </a:pPr>
          <a:endParaRPr lang="fr-FR"/>
        </a:p>
      </c:txPr>
    </c:legend>
    <c:plotVisOnly val="1"/>
    <c:dispBlanksAs val="gap"/>
    <c:showDLblsOverMax val="0"/>
    <c:extLst>
      <c:ext uri="{0b15fc19-7d7d-44ad-8c2d-2c3a37ce22c3}">
        <chartProps xmlns="https://web.wps.cn/et/2018/main" chartId="{99a3704e-aafb-4961-9f99-132370b40941}"/>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lang="fr-FR"/>
      </a:pPr>
      <a:endParaRPr lang="fr-FR"/>
    </a:p>
  </c:txPr>
  <c:externalData r:id="rId3">
    <c:autoUpdate val="0"/>
  </c:externalData>
</c:chartSpace>
</file>

<file path=word/charts/colors1.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4T21:58:33"/>
    </inkml:context>
    <inkml:brush xml:id="br0">
      <inkml:brushProperty name="width" value="0.1" units="cm"/>
      <inkml:brushProperty name="height" value="0.1" units="cm"/>
      <inkml:brushProperty name="color" value="#FFFFFF"/>
    </inkml:brush>
  </inkml:definitions>
  <inkml:trace contextRef="#ctx0" brushRef="#br0">1 133 20077,'122'200'0,"-238"6"0,309-288 0,-70 282 0,-127-451 0,195 169 0,-385 10 0,190-180 0,-112 458 0,-79-279 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4T21:58:25"/>
    </inkml:context>
    <inkml:brush xml:id="br0">
      <inkml:brushProperty name="width" value="0.1" units="cm"/>
      <inkml:brushProperty name="height" value="0.1" units="cm"/>
      <inkml:brushProperty name="color" value="#FFFFFF"/>
    </inkml:brush>
  </inkml:definitions>
  <inkml:trace contextRef="#ctx0" brushRef="#br0">96 161 9830,'0'17'686,"1"-12"-592,-1-1 1,1 0-1,-1 1 0,0-1 0,0 0 1,-1 1-1,1-1 0,-1 0 0,0 1 1,0-1-1,-1 0 0,-2 7 1,4-11-89,-1 0 0,1 0 0,0 0-1,0 0 1,0 0 0,-1 0 0,1 0 0,0 0 0,0 0 0,-1 0 0,1 0 0,0 0 0,0 0 0,0 0 0,-1 0 0,1-1 0,0 1 0,0 0 0,0 0 0,-1 0 0,1 0 0,0 0 0,0-1 0,0 1 0,0 0 0,-1 0 0,1 0 0,0 0 0,0-1 0,0 1 0,0 0 0,0 0 0,0 0 0,0-1 0,0 1 0,0 0 0,0 0 0,-1-1 0,1 1 0,0 0 0,0-1 0,-6-16-79,4 9 104,-21-32 643,-12-25-642,32 59-54,1-1 0,-1 1 0,2 0-1,-1-1 1,1 1 0,0-1 0,-1-8-1,2 13 42,0 0 0,0 1-1,1-1 1,-1 0 0,0 1-1,1-1 1,-1 0 0,1 1-1,-1-1 1,1 1 0,0-1-1,0 1 1,0-1 0,0 1-1,0-1 1,0 1 0,0 0-1,0-1 1,0 1 0,1 0-1,-1 0 1,0 0 0,1 0-1,-1 0 1,1 1 0,-1-1-1,1 0 1,0 1 0,-1-1-1,1 1 1,0-1 0,2 0-1,2 0 67,-1 0-1,1 0 1,0 1-1,-1-1 1,1 1-1,0 1 1,-1-1-1,1 1 1,0 0-1,-1 0 1,1 0-1,-1 1 1,1 0-1,-1 0 1,0 0-1,0 1 1,0 0-1,0 0 1,0 0-1,-1 0 1,1 1-1,-1 0 1,0 0-1,6 7 1,-1 1-31</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4T21:58:17"/>
    </inkml:context>
    <inkml:brush xml:id="br0">
      <inkml:brushProperty name="width" value="0.1" units="cm"/>
      <inkml:brushProperty name="height" value="0.1" units="cm"/>
      <inkml:brushProperty name="color" value="#FFFFFF"/>
    </inkml:brush>
  </inkml:definitions>
  <inkml:trace contextRef="#ctx0" brushRef="#br0">21 0 14902,'3'26'0,"-27"-15"0,50-6 0,-23 21 0,10-49 0,12 28 0,-43-24 0,31-4 0,-37 34 0,7-30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4T21:58:11"/>
    </inkml:context>
    <inkml:brush xml:id="br0">
      <inkml:brushProperty name="width" value="0.1" units="cm"/>
      <inkml:brushProperty name="height" value="0.1" units="cm"/>
      <inkml:brushProperty name="color" value="#FFFFFF"/>
    </inkml:brush>
  </inkml:definitions>
  <inkml:trace contextRef="#ctx0" brushRef="#br0">0 35 9830,'0'-3'0,"0"-5"0,0-3 0,0-1 0</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3-14T21:58:09"/>
    </inkml:context>
    <inkml:brush xml:id="br0">
      <inkml:brushProperty name="width" value="0.1" units="cm"/>
      <inkml:brushProperty name="height" value="0.1" units="cm"/>
      <inkml:brushProperty name="color" value="#FFFFFF"/>
    </inkml:brush>
  </inkml:definitions>
  <inkml:trace contextRef="#ctx0" brushRef="#br0">220 75 18421,'-27'-75'0,"-165"75"0,265 75 0,73-75 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b:Source>
    <b:Tag>Mat21</b:Tag>
    <b:SourceType>JournalArticle</b:SourceType>
    <b:Guid>{E9831F2F-44CD-427A-8EA0-44710EF8E2F8}</b:Guid>
    <b:Title>Coma, Disorders of Consciousness, and Brain Death</b:Title>
    <b:Year>2021</b:Year>
    <b:Author>
      <b:Author>
        <b:NameList>
          <b:Person>
            <b:Last>Mathur</b:Last>
            <b:First>R.,</b:First>
            <b:Middle>Balucani, C., Elmashala, A., &amp; Geocadin, R.</b:Middle>
          </b:Person>
        </b:NameList>
      </b:Author>
    </b:Author>
    <b:JournalName>Springer, Cham.</b:JournalName>
    <b:Pages>345-372</b:Pages>
    <b:LCID>en-US</b:LCID>
    <b:DOI>https://doi.org/10.1007/978-3-030-75778-6_17</b:DOI>
    <b:RefOrder>5</b:RefOrder>
  </b:Source>
  <b:Source>
    <b:Tag>Kon23</b:Tag>
    <b:SourceType>JournalArticle</b:SourceType>
    <b:Guid>{49D38BB0-22D0-4AEE-BC4D-D3DC7C2E0D6F}</b:Guid>
    <b:Author>
      <b:Author>
        <b:NameList>
          <b:Person>
            <b:Last>Kondziella</b:Last>
            <b:First>D.,</b:First>
            <b:Middle>Amiri, M., Othman, M. H., Jakobsen, E. W., Jansen, T., &amp; Møller, K.</b:Middle>
          </b:Person>
        </b:NameList>
      </b:Author>
    </b:Author>
    <b:Title>Understanding, detecting, and stimulating consciousness recovery in the ICU</b:Title>
    <b:JournalName>Acta Neurochirurgica</b:JournalName>
    <b:Year>2023</b:Year>
    <b:Pages>809-828</b:Pages>
    <b:Volume>165</b:Volume>
    <b:DOI>https://doi.org/10.1007/s00701-022-05378-5</b:DOI>
    <b:RefOrder>6</b:RefOrder>
  </b:Source>
  <b:Source>
    <b:Tag>Ele23</b:Tag>
    <b:SourceType>Book</b:SourceType>
    <b:Guid>{0EF2600B-9818-4244-888C-9D53AC9C611C}</b:Guid>
    <b:Author>
      <b:Author>
        <b:NameList>
          <b:Person>
            <b:Last>Elendu</b:Last>
            <b:First>C.,</b:First>
            <b:Middle>Udoyen, A.-O. A., Egbunu, E. O., Ogbuiyi-Chima, I. C., Ibhiedu, J. O., Ibhiedu, A. O., Nwosu, P. U., Koroyin, M. O., Alabi, O. M., Okabekwa, O. S., &amp; Fatoye, J. O.</b:Middle>
          </b:Person>
        </b:NameList>
      </b:Author>
    </b:Author>
    <b:Title>Comprehensive review of diabetic ketoacidosis: an update</b:Title>
    <b:Year>2023</b:Year>
    <b:Publisher>nnals of Medicine and Surgery</b:Publisher>
    <b:Volume>85</b:Volume>
    <b:Pages>2802-2807</b:Pages>
    <b:DOI>https://doi.org/10.1097/MS9.0000000000000894</b:DOI>
    <b:RefOrder>3</b:RefOrder>
  </b:Source>
  <b:Source>
    <b:Tag>Ump24</b:Tag>
    <b:SourceType>JournalArticle</b:SourceType>
    <b:Guid>{384A5A0C-0C34-478F-A21D-1095D98FFC8D}</b:Guid>
    <b:Title>Hyperglycaemic crises in adults with diabetes: a consensus report.</b:Title>
    <b:Year>2024</b:Year>
    <b:Author>
      <b:Author>
        <b:NameList>
          <b:Person>
            <b:Last>Umpierrez GE</b:Last>
            <b:First>Davis</b:First>
            <b:Middle>GM, ElSayed NA, Fadini GP, Galindo RJ, Hirsch IB, Klonoff DC, McCoy RG, Misra S, Gabbay RA, Bannuru RR, Dhatariya KK</b:Middle>
          </b:Person>
        </b:NameList>
      </b:Author>
    </b:Author>
    <b:JournalName>Diabetologia</b:JournalName>
    <b:Pages>1455-1479</b:Pages>
    <b:Volume>67</b:Volume>
    <b:DOI>10.1007/s00125-024-06183-8</b:DOI>
    <b:RefOrder>1</b:RefOrder>
  </b:Source>
  <b:Source>
    <b:Tag>Dai26</b:Tag>
    <b:SourceType>JournalArticle</b:SourceType>
    <b:Guid>{41E61118-A7F4-4A09-8276-651EDDA84B40}</b:Guid>
    <b:Author>
      <b:Author>
        <b:NameList>
          <b:Person>
            <b:Last>Daina MD</b:Last>
            <b:First>Vesa</b:First>
            <b:Middle>CM, Ghitea TC, Iova CF, Bonțea MG, László F, Daina CM</b:Middle>
          </b:Person>
        </b:NameList>
      </b:Author>
    </b:Author>
    <b:Title>Hyperglycemia in Critically Ill Patients: Current Approaches and Management Strategies.</b:Title>
    <b:JournalName>In Vivo</b:JournalName>
    <b:Year>2026</b:Year>
    <b:Pages>583-599</b:Pages>
    <b:Volume>40</b:Volume>
    <b:DOI>10.21873/invivo.14223.</b:DOI>
    <b:RefOrder>2</b:RefOrder>
  </b:Source>
  <b:Source>
    <b:Tag>Gos14</b:Tag>
    <b:SourceType>JournalArticle</b:SourceType>
    <b:Guid>{064F8CF7-C7B2-4975-96F7-3E440EF6C6BB}</b:Guid>
    <b:Author>
      <b:Author>
        <b:NameList>
          <b:Person>
            <b:Last>Gosmanov</b:Last>
            <b:First>A.</b:First>
            <b:Middle>R., Gosmanova, E. O., &amp; Kitabchi, A. E</b:Middle>
          </b:Person>
        </b:NameList>
      </b:Author>
    </b:Author>
    <b:Title>Hyperglycemic Crises: Diabetic Ketoacidosis and Hyperglycemic Hyperosmolar State</b:Title>
    <b:JournalName>endotext-pediatric diabetes</b:JournalName>
    <b:Year>2014</b:Year>
    <b:Pages>154-179</b:Pages>
    <b:Volume>15</b:Volume>
    <b:DOI>10.1111/pedi.12169</b:DOI>
    <b:RefOrder>10</b:RefOrder>
  </b:Source>
  <b:Source>
    <b:Tag>Die19</b:Tag>
    <b:SourceType>JournalArticle</b:SourceType>
    <b:Guid>{38CB48EA-C0A6-4207-A6AB-57CD4BCB1ED1}</b:Guid>
    <b:Author>
      <b:Author>
        <b:NameList>
          <b:Person>
            <b:Last>Dienel</b:Last>
            <b:First>Gerald</b:First>
            <b:Middle>A</b:Middle>
          </b:Person>
        </b:NameList>
      </b:Author>
    </b:Author>
    <b:Title>Brain Glucose Metabolism: Integration of Energetics with Function</b:Title>
    <b:JournalName>Physiol Rev</b:JournalName>
    <b:Year>2019</b:Year>
    <b:Pages>949-1045</b:Pages>
    <b:DOI>10.1152/physrev.00062.2017</b:DOI>
    <b:RefOrder>13</b:RefOrder>
  </b:Source>
  <b:Source>
    <b:Tag>Dub23</b:Tag>
    <b:SourceType>JournalArticle</b:SourceType>
    <b:Guid>{FC1A3336-E6FF-4CEB-B5F3-B1136F4609EF}</b:Guid>
    <b:Author>
      <b:Author>
        <b:NameList>
          <b:Person>
            <b:Last>Dubey</b:Last>
            <b:First>Souvik</b:First>
            <b:Middle>&amp; Ghosh, Ritwik &amp; Chatterjee, Subhankar.</b:Middle>
          </b:Person>
        </b:NameList>
      </b:Author>
    </b:Author>
    <b:Title>Glycemic Brain Injury</b:Title>
    <b:Year>2023</b:Year>
    <b:Pages>5-7</b:Pages>
    <b:Volume>24</b:Volume>
    <b:URL>https://www.researchgate.net/publication/376679756_Editorial_Glycemic_Brain_Injury</b:URL>
    <b:RefOrder>4</b:RefOrder>
  </b:Source>
  <b:Source>
    <b:Tag>Azo20</b:Tag>
    <b:SourceType>JournalArticle</b:SourceType>
    <b:Guid>{D6CB20DF-6448-4A95-B5CB-3F0EA7A5FC31}</b:Guid>
    <b:Author>
      <b:Author>
        <b:NameList>
          <b:Person>
            <b:Last>Azova</b:Last>
            <b:First>S.,</b:First>
            <b:Middle>Rapaport, R., &amp; Wolfsdorf, J</b:Middle>
          </b:Person>
        </b:NameList>
      </b:Author>
    </b:Author>
    <b:Title>Brain injury in children with diabetic ketoacidosis: Review of the literature and a proposed pathophysiologic pathway for the development of cerebral edema</b:Title>
    <b:JournalName>Pediatric Diabetes</b:JournalName>
    <b:Year>2020</b:Year>
    <b:Pages>148-160</b:Pages>
    <b:Volume>20</b:Volume>
    <b:DOI>https://doi.org/10.1111/pedi.13152.</b:DOI>
    <b:RefOrder>17</b:RefOrder>
  </b:Source>
  <b:Source>
    <b:Tag>Bor19</b:Tag>
    <b:SourceType>JournalArticle</b:SourceType>
    <b:Guid>{2F5B819B-B909-4FCE-8BB1-E31C0311E64F}</b:Guid>
    <b:Author>
      <b:Author>
        <b:NameList>
          <b:Person>
            <b:Last>Bordone</b:Last>
            <b:First>M.</b:First>
            <b:Middle>P., Salman, M. M., Titus, H. E., Amini, E., Andersen, J. V., Chakraborti, B., Diuba, A. V., Dubouskaya, T. G., Ehrke, E., Freitas, A. E., de Freitas, G. B. L., Gonçalves, R. A., Gupta, D., Gupta, R., Ha, S. R., Hemming, I. A., Hemming, I. A.,</b:Middle>
          </b:Person>
        </b:NameList>
      </b:Author>
    </b:Author>
    <b:Title>The energetic brain – A review from students to students.</b:Title>
    <b:JournalName>Journal of Neurochemistry</b:JournalName>
    <b:Year>2019</b:Year>
    <b:Pages>139-165</b:Pages>
    <b:DOI>https://doi.org/10.1111/JNC.14829</b:DOI>
    <b:RefOrder>15</b:RefOrder>
  </b:Source>
  <b:Source>
    <b:Tag>Deu24</b:Tag>
    <b:SourceType>Book</b:SourceType>
    <b:Guid>{C289D560-288C-488E-9248-90B475109B5D}</b:Guid>
    <b:Author>
      <b:Author>
        <b:NameList>
          <b:Person>
            <b:Last>Deulkar P</b:Last>
            <b:First>Singam</b:First>
            <b:Middle>A, Mudiganti VNKS, Jain A.</b:Middle>
          </b:Person>
        </b:NameList>
      </b:Author>
      <b:Editor>
        <b:NameList>
          <b:Person>
            <b:Last>Cureus</b:Last>
          </b:Person>
        </b:NameList>
      </b:Editor>
    </b:Author>
    <b:Title>Lactate Monitoring in Intensive Care: A Comprehensive Review of Its Utility and Interpretation</b:Title>
    <b:Year>2024</b:Year>
    <b:DOI>10.7759/cureus.66356.</b:DOI>
    <b:RefOrder>18</b:RefOrder>
  </b:Source>
  <b:Source>
    <b:Tag>Liu23</b:Tag>
    <b:SourceType>Book</b:SourceType>
    <b:Guid>{E81B1477-B2EC-4AA9-810A-D04FE146F908}</b:Guid>
    <b:Author>
      <b:Author>
        <b:NameList>
          <b:Person>
            <b:Last>Liu</b:Last>
            <b:First>D.,</b:First>
            <b:Middle>Yao, Q., Song, B., Sun, Y., Ju, H., Li, G.-Y</b:Middle>
          </b:Person>
        </b:NameList>
      </b:Author>
    </b:Author>
    <b:Title>Serum lactate monitoring may help to predict neurological function impairment caused by acute metabolism crisis.</b:Title>
    <b:Year>2023</b:Year>
    <b:Publisher>Dental Science Reports</b:Publisher>
    <b:DOI>https://doi.org/10.1038/s41598-023-29506-y</b:DOI>
    <b:RefOrder>14</b:RefOrder>
  </b:Source>
  <b:Source>
    <b:Tag>Kil25</b:Tag>
    <b:SourceType>Book</b:SourceType>
    <b:Guid>{BF3CFB03-C72E-40EF-82A9-2084067CC96C}</b:Guid>
    <b:Author>
      <b:Author>
        <b:NameList>
          <b:Person>
            <b:Last>Kilic</b:Last>
            <b:First>O.,</b:First>
            <b:Middle>Isevi, M., Çolak, Ö. Y., &amp;#38</b:Middle>
          </b:Person>
          <b:Person>
            <b:Last>Akman</b:Last>
            <b:First>T.</b:First>
            <b:Middle>S</b:Middle>
          </b:Person>
        </b:NameList>
      </b:Author>
    </b:Author>
    <b:Title>Prognostic Utility of Lactate, Standard Base Excess, and Alactic Base Excess in Sepsis: A Retrospective Analysis of Critical Care Biomarkers</b:Title>
    <b:Year>2025</b:Year>
    <b:DOI>https://doi.org/10.1101/2025.07.29.25332405</b:DOI>
    <b:RefOrder>22</b:RefOrder>
  </b:Source>
  <b:Source>
    <b:Tag>Kem25</b:Tag>
    <b:SourceType>Book</b:SourceType>
    <b:Guid>{18377CD0-A10A-4624-80A4-63CFBD25B2F6}</b:Guid>
    <b:Author>
      <b:Author>
        <b:NameList>
          <b:Person>
            <b:Last>Kemna RE</b:Last>
            <b:First>Kueck</b:First>
            <b:Middle>PJ, Blankenship A, John CS, Johnson CN, Green ZD, Mayfield H, Yoksh L, Johnson L, Thyfault JP, Mahnken JD, Miller BF, Morris JK.</b:Middle>
          </b:Person>
        </b:NameList>
      </b:Author>
    </b:Author>
    <b:Title>Acute effects of lactate infusion on metabolism, AD biomarkers, and cognition: The LEAN study</b:Title>
    <b:Year>2025</b:Year>
    <b:Publisher>Alzheimers Dement</b:Publisher>
    <b:DOI>10.1002/alz.70984.</b:DOI>
    <b:RefOrder>19</b:RefOrder>
  </b:Source>
  <b:Source>
    <b:Tag>Ağa25</b:Tag>
    <b:SourceType>Book</b:SourceType>
    <b:Guid>{ABEA0B7A-C7EA-4CA4-821D-B8C4A81B7152}</b:Guid>
    <b:Author>
      <b:Author>
        <b:NameList>
          <b:Person>
            <b:Last>Ağaçkıran İ</b:Last>
            <b:First>Ağaçkıran</b:First>
            <b:Middle>M.</b:Middle>
          </b:Person>
        </b:NameList>
      </b:Author>
    </b:Author>
    <b:Title>Prognostic value of lactate-to-hemoglobin ratio in nontraumatic critically ill patients presenting to the emergency department: a retrospective cohort study</b:Title>
    <b:Year>2025</b:Year>
    <b:Publisher>BMC Emerg Med</b:Publisher>
    <b:DOI>10.1186/s12873-025-01371-0</b:DOI>
    <b:RefOrder>23</b:RefOrder>
  </b:Source>
  <b:Source>
    <b:Tag>Siy25</b:Tag>
    <b:SourceType>Book</b:SourceType>
    <b:Guid>{D137BDE4-3DDD-4A1E-B2B0-C0E297720D3E}</b:Guid>
    <b:Author>
      <b:Author>
        <b:NameList>
          <b:Person>
            <b:Last>Siyu Guo</b:Last>
            <b:First>Min</b:First>
            <b:Middle>Ye, Wengen Zhu, Chen Liu</b:Middle>
          </b:Person>
        </b:NameList>
      </b:Author>
    </b:Author>
    <b:Title>From fuel to epigenetic signal: Lactate-lactylation axis orchestrates diabetic complications,</b:Title>
    <b:Year>2025</b:Year>
    <b:Publisher>Pharmacological Research,</b:Publisher>
    <b:Volume>222</b:Volume>
    <b:DOI>https://doi.org/10.1016/j.phrs.2025.108052.</b:DOI>
    <b:RefOrder>20</b:RefOrder>
  </b:Source>
  <b:Source>
    <b:Tag>Par25</b:Tag>
    <b:SourceType>Book</b:SourceType>
    <b:Guid>{AF93FEBE-E8E1-48A9-B46E-2345BAF07D67}</b:Guid>
    <b:Author>
      <b:Author>
        <b:NameList>
          <b:Person>
            <b:Last>Park</b:Last>
            <b:First>M.G.,</b:First>
            <b:Middle>Lim, J., Kim, D. et al.</b:Middle>
          </b:Person>
        </b:NameList>
      </b:Author>
    </b:Author>
    <b:Title>Suppressing astrocytic GABA transaminase enhances tonic inhibition and weakens hippocampal spatial memory</b:Title>
    <b:Year>2025</b:Year>
    <b:Publisher>Exp Mol Med</b:Publisher>
    <b:Volume>57</b:Volume>
    <b:Pages>379-389</b:Pages>
    <b:DOI>https://doi.org/10.1038/s12276-025-01398-0</b:DOI>
    <b:RefOrder>7</b:RefOrder>
  </b:Source>
  <b:Source>
    <b:Tag>Chi17</b:Tag>
    <b:SourceType>Book</b:SourceType>
    <b:Guid>{E71D8F93-977A-47B6-A79E-8A6D87658C99}</b:Guid>
    <b:Author>
      <b:Author>
        <b:NameList>
          <b:Person>
            <b:Last>Ching</b:Last>
            <b:First>CK</b:First>
            <b:Middle>&amp; Leong, Benjamin &amp; Chua, Terrance &amp; Lim, Swee &amp; Heng, Kenneth &amp; Pothiawala, Sohil &amp; Venkataraman, Anantharaman</b:Middle>
          </b:Person>
        </b:NameList>
      </b:Author>
    </b:Author>
    <b:Title>Advanced Cardiac Life Support: 2016 Singapore Guidelines</b:Title>
    <b:Year>2017</b:Year>
    <b:Publisher>Singapore Medical Journal</b:Publisher>
    <b:Volume>58</b:Volume>
    <b:Pages>360-372</b:Pages>
    <b:DOI> 10.11622/smedj.2017064.</b:DOI>
    <b:RefOrder>8</b:RefOrder>
  </b:Source>
  <b:Source>
    <b:Tag>Aba25</b:Tag>
    <b:SourceType>Book</b:SourceType>
    <b:Guid>{F1E2091E-FF15-4C8E-B6FE-A72FB2517F20}</b:Guid>
    <b:Author>
      <b:Author>
        <b:NameList>
          <b:Person>
            <b:Last>Abady</b:Last>
            <b:First>Eslam</b:First>
            <b:Middle>&amp; Tamvakologos, Panos &amp; Mourid, Marina &amp; Abdelrahman, Salma &amp; Aziz, Mayam &amp; Rath, Shree &amp; Carr, Lauren &amp; Alsabri, Mohammed.</b:Middle>
          </b:Person>
        </b:NameList>
      </b:Author>
    </b:Author>
    <b:Title>A narrative review of the diabetic ketoacidosis and hyperosmolar hyperglycemic state overlap syndrome</b:Title>
    <b:Year>2025</b:Year>
    <b:Publisher> International Journal of Emergency Medicine</b:Publisher>
    <b:DOI>18. 10.1186/s12245-025-01078-w.</b:DOI>
    <b:RefOrder>9</b:RefOrder>
  </b:Source>
  <b:Source>
    <b:Tag>Tam09</b:Tag>
    <b:SourceType>Book</b:SourceType>
    <b:Guid>{0E3D4D54-4D31-43D8-882B-DBCCECDE37B1}</b:Guid>
    <b:Author>
      <b:Author>
        <b:NameList>
          <b:Person>
            <b:Last>Tamargo</b:Last>
            <b:First>J</b:First>
            <b:Middle>&amp; Amorós, I &amp; Barana, Adriana &amp; Caballero, Ricardo &amp; Delpón, Eva.</b:Middle>
          </b:Person>
        </b:NameList>
      </b:Author>
    </b:Author>
    <b:Title>. New Investigational Drugs for the Management of Acute Heart Failure Syndromes.</b:Title>
    <b:Year>2009</b:Year>
    <b:Publisher>Current medicinal chemistry.</b:Publisher>
    <b:Volume>17</b:Volume>
    <b:Pages>363-390</b:Pages>
    <b:DOI>10.2174/092986710790192721</b:DOI>
    <b:RefOrder>11</b:RefOrder>
  </b:Source>
  <b:Source>
    <b:Tag>LiY23</b:Tag>
    <b:SourceType>Book</b:SourceType>
    <b:Guid>{C9E56193-81CB-4369-8C75-CFC89B975022}</b:Guid>
    <b:Author>
      <b:Author>
        <b:NameList>
          <b:Person>
            <b:Last>Li</b:Last>
            <b:First>Y.,</b:First>
            <b:Middle>Liu, Y., Liu, S. et al</b:Middle>
          </b:Person>
        </b:NameList>
      </b:Author>
    </b:Author>
    <b:Title>Diabetic vascular diseases: molecular mechanisms and therapeutic strategies</b:Title>
    <b:Year>2023</b:Year>
    <b:Publisher>Sig Transduct Target Ther</b:Publisher>
    <b:DOI> https://doi.org/10.1038/s41392-023-01400-z</b:DOI>
    <b:RefOrder>16</b:RefOrder>
  </b:Source>
  <b:Source>
    <b:Tag>XuJ02</b:Tag>
    <b:SourceType>Book</b:SourceType>
    <b:Guid>{A41EEB73-100B-465B-98AF-515400189851}</b:Guid>
    <b:Author>
      <b:Author>
        <b:NameList>
          <b:Person>
            <b:Last>Xu</b:Last>
            <b:First>Jun</b:First>
            <b:Middle>&amp; Trujillo, Chuck &amp; Chang, Vicky &amp; Blanco, Lilia &amp; Joseph, Sean &amp; Bassilian, Sara &amp; Saad, Mohammed &amp; Tontonoz, Peter &amp; Lee, Paul &amp; Kurland, Irwin.</b:Middle>
          </b:Person>
        </b:NameList>
      </b:Author>
    </b:Author>
    <b:Title>Peroxisome Proliferator-activated Receptor ?? (PPAR??) Influences Substrate Utilization for Hepatic Glucose Production.</b:Title>
    <b:Year>2002</b:Year>
    <b:Publisher>The Journal of biological chemistry</b:Publisher>
    <b:Volume>222</b:Volume>
    <b:DOI> 10.1074/jbc.M201208200.</b:DOI>
    <b:RefOrder>21</b:RefOrder>
  </b:Source>
  <b:Source>
    <b:Tag>Gua25</b:Tag>
    <b:SourceType>Book</b:SourceType>
    <b:Guid>{F67AA963-12B1-4704-8788-991C553C3A8C}</b:Guid>
    <b:Author>
      <b:Author>
        <b:NameList>
          <b:Person>
            <b:Last>Guannan Chen</b:Last>
            <b:First>Jinchao</b:First>
            <b:Middle>Liu , Yilan Guo and Peng Sun</b:Middle>
          </b:Person>
        </b:NameList>
      </b:Author>
    </b:Author>
    <b:Title>Mechanisms for Regulatory Effects of Exercise on Metabolic Diseases from the Lactate–Lactylation Perspective</b:Title>
    <b:Year>2025</b:Year>
    <b:Publisher>Int. J. Mol. Sci</b:Publisher>
    <b:Volume>26</b:Volume>
    <b:DOI> https://doi.org/10.3390/ijms26083469</b:DOI>
    <b:RefOrder>63</b:RefOrder>
  </b:Source>
  <b:Source>
    <b:Tag>Tre22</b:Tag>
    <b:SourceType>Book</b:SourceType>
    <b:Guid>{52F29FF1-50B7-441E-9FE1-55D58F9C6A1D}</b:Guid>
    <b:Author>
      <b:Author>
        <b:NameList>
          <b:Person>
            <b:Last>Tremblay ES</b:Last>
            <b:First>Millington</b:First>
            <b:Middle>K, Wu Y, Wypij D, Yang Y, Agus MSD, Wolfsdorf J.</b:Middle>
          </b:Person>
        </b:NameList>
      </b:Author>
    </b:Author>
    <b:Title>Utility of plasma beta-hydroxybutyrate to define resolution of diabetic ketoacidosis</b:Title>
    <b:Year>2022</b:Year>
    <b:Publisher>Pediatr Diabetes.</b:Publisher>
    <b:DOI>10.1111/pedi.13437</b:DOI>
    <b:RefOrder>29</b:RefOrder>
  </b:Source>
  <b:Source>
    <b:Tag>Dai21</b:Tag>
    <b:SourceType>Book</b:SourceType>
    <b:Guid>{084AA407-D25C-4FEA-B95C-747E7DB095EC}</b:Guid>
    <b:Author>
      <b:Author>
        <b:NameList>
          <b:Person>
            <b:Last>Daines</b:Last>
            <b:First>S.</b:First>
            <b:Middle>A</b:Middle>
          </b:Person>
        </b:NameList>
      </b:Author>
    </b:Author>
    <b:Title>The Therapeutic Potential and Limitations of Ketones in Traumatic Brain Injury</b:Title>
    <b:Year>2021</b:Year>
    <b:Publisher>Frontiers in Neurology</b:Publisher>
    <b:DOI>https://doi.org/10.3389/FNEUR.2021.723148</b:DOI>
    <b:RefOrder>26</b:RefOrder>
  </b:Source>
  <b:Source>
    <b:Tag>New24</b:Tag>
    <b:SourceType>Book</b:SourceType>
    <b:Guid>{3E7DF691-B1E1-48D0-B041-14130E759AF8}</b:Guid>
    <b:Author>
      <b:Author>
        <b:NameList>
          <b:Person>
            <b:Last>Newman JC</b:Last>
            <b:First>Verdin</b:First>
            <b:Middle>E</b:Middle>
          </b:Person>
        </b:NameList>
      </b:Author>
    </b:Author>
    <b:Title>Ketones in the Life Sciences – Biochemistry, Metabolism</b:Title>
    <b:Year>2024</b:Year>
    <b:Publisher>IntechOpen</b:Publisher>
    <b:RefOrder>25</b:RefOrder>
  </b:Source>
  <b:Source>
    <b:Tag>Puc21</b:Tag>
    <b:SourceType>Book</b:SourceType>
    <b:Guid>{1A0864FB-61D0-4529-9463-849BD718FF49}</b:Guid>
    <b:Author>
      <b:Author>
        <b:NameList>
          <b:Person>
            <b:Last>Puchalska P</b:Last>
            <b:First>Crawford</b:First>
            <b:Middle>PA</b:Middle>
          </b:Person>
        </b:NameList>
      </b:Author>
    </b:Author>
    <b:Title>Metabolic and signaling roles of ketone bodies. </b:Title>
    <b:Year>2021</b:Year>
    <b:Publisher>Nat Rev Endocrinol</b:Publisher>
    <b:RefOrder>24</b:RefOrder>
  </b:Source>
  <b:Source>
    <b:Tag>Cot24</b:Tag>
    <b:SourceType>Book</b:SourceType>
    <b:Guid>{0553BBFC-9668-4D8E-8044-4E0ACABD1602}</b:Guid>
    <b:Author>
      <b:Author>
        <b:NameList>
          <b:Person>
            <b:Last>Cotter-DuPont K</b:Last>
            <b:First>et</b:First>
            <b:Middle>al</b:Middle>
          </b:Person>
        </b:NameList>
      </b:Author>
    </b:Author>
    <b:Title>Ketones in Cellular Physiology: Metabolic, Signaling Advances</b:Title>
    <b:Year>2024</b:Year>
    <b:Publisher> Am J Physiol Cell Physiol</b:Publisher>
    <b:RefOrder>28</b:RefOrder>
  </b:Source>
  <b:Source>
    <b:Tag>Wen21</b:Tag>
    <b:SourceType>Book</b:SourceType>
    <b:Guid>{E2F265DD-2C16-45B5-8F60-36CFC6100D05}</b:Guid>
    <b:Author>
      <b:Author>
        <b:NameList>
          <b:Person>
            <b:Last>Wentz MR</b:Last>
            <b:First>et</b:First>
            <b:Middle>al.</b:Middle>
          </b:Person>
        </b:NameList>
      </b:Author>
    </b:Author>
    <b:Title>Ketone Bodies in the Brain Beyond Fuel Metabolism.</b:Title>
    <b:Year>2021</b:Year>
    <b:Publisher>Front Mol Neurosci</b:Publisher>
    <b:RefOrder>27</b:RefOrder>
  </b:Source>
  <b:Source>
    <b:Tag>Tsu24</b:Tag>
    <b:SourceType>Book</b:SourceType>
    <b:Guid>{6A2259B2-D891-4EF3-8DDA-2A859A801E56}</b:Guid>
    <b:Author>
      <b:Author>
        <b:NameList>
          <b:Person>
            <b:Last>Tsuruta Y</b:Last>
            <b:First>et</b:First>
            <b:Middle>al.</b:Middle>
          </b:Person>
        </b:NameList>
      </b:Author>
    </b:Author>
    <b:Title>Emerging pathophysiological roles of ketone bodies</b:Title>
    <b:Year>2024</b:Year>
    <b:Publisher>Fisiologia del Ejercicio</b:Publisher>
    <b:RefOrder>31</b:RefOrder>
  </b:Source>
  <b:Source>
    <b:Tag>Jos23</b:Tag>
    <b:SourceType>Book</b:SourceType>
    <b:Guid>{2721B51F-B8B2-448D-A254-D1D7DDBDC8BE}</b:Guid>
    <b:Author>
      <b:Author>
        <b:NameList>
          <b:Person>
            <b:Last>Joshi A</b:Last>
            <b:First>et</b:First>
            <b:Middle>al</b:Middle>
          </b:Person>
        </b:NameList>
      </b:Author>
    </b:Author>
    <b:Title>Elevated Plasma Levels of Ketone Bodies and Mortality.</b:Title>
    <b:Year>2023</b:Year>
    <b:Publisher>J Am Heart Assoc</b:Publisher>
    <b:RefOrder>30</b:RefOrder>
  </b:Source>
  <b:Source>
    <b:Tag>Rom22</b:Tag>
    <b:SourceType>Book</b:SourceType>
    <b:Guid>{8B7A8226-097A-4372-830A-D217A189CAE0}</b:Guid>
    <b:Author>
      <b:Author>
        <b:NameList>
          <b:Person>
            <b:Last>Romane Bertrand</b:Last>
            <b:First>Fabrizio</b:First>
            <b:Middle>Andreelli, Jean-Michel Lecerf,</b:Middle>
          </b:Person>
        </b:NameList>
      </b:Author>
    </b:Author>
    <b:Title>Corps cétoniques : définitions, synthèse et rôles dans le métabolisme énergétique,</b:Title>
    <b:Year>2022</b:Year>
    <b:Publisher>Médecine des Maladies Métaboliques,</b:Publisher>
    <b:Volume>16</b:Volume>
    <b:Pages>580-585</b:Pages>
    <b:DOI>https://doi.org/10.1016/j.mmm.2022.08.010.</b:DOI>
    <b:RefOrder>64</b:RefOrder>
  </b:Source>
  <b:Source>
    <b:Tag>Han20</b:Tag>
    <b:SourceType>Book</b:SourceType>
    <b:Guid>{87564600-8C23-4CC1-9E60-6FDA21B9688A}</b:Guid>
    <b:Author>
      <b:Author>
        <b:NameList>
          <b:Person>
            <b:Last>Han</b:Last>
            <b:First>YM.,</b:First>
            <b:Middle>Ramprasath, T. &amp; Zou, MH</b:Middle>
          </b:Person>
        </b:NameList>
      </b:Author>
    </b:Author>
    <b:Title>β-hydroxybutyrate and its metabolic effects on age-associated pathology.</b:Title>
    <b:Year>2020</b:Year>
    <b:Publisher>Exp Mol Med</b:Publisher>
    <b:Volume>52</b:Volume>
    <b:Pages>548-555</b:Pages>
    <b:DOI>https://doi.org/10.1038/s12276-020-0415-z</b:DOI>
    <b:RefOrder>65</b:RefOrder>
  </b:Source>
  <b:Source>
    <b:Tag>Dha25</b:Tag>
    <b:SourceType>Book</b:SourceType>
    <b:Guid>{BCB50F4A-2BD1-411F-9C0E-E432E42D2F3E}</b:Guid>
    <b:Author>
      <b:Author>
        <b:NameList>
          <b:Person>
            <b:Last>Dhatariya KK</b:Last>
            <b:First>et</b:First>
            <b:Middle>al</b:Middle>
          </b:Person>
        </b:NameList>
      </b:Author>
    </b:Author>
    <b:Title>Hyperglycemic Crises</b:Title>
    <b:Year>2025</b:Year>
    <b:Publisher>Endotext</b:Publisher>
    <b:RefOrder>33</b:RefOrder>
  </b:Source>
  <b:Source>
    <b:Tag>Ant25</b:Tag>
    <b:SourceType>Book</b:SourceType>
    <b:Guid>{151F777C-5E70-4A10-843B-84527CF7D5EA}</b:Guid>
    <b:Author>
      <b:Author>
        <b:NameList>
          <b:Person>
            <b:Last>Antoine</b:Last>
            <b:First>Kharsa</b:First>
          </b:Person>
          <b:Person>
            <b:Last>Rishik</b:Last>
            <b:First>Vashisht</b:First>
          </b:Person>
          <b:Person>
            <b:Last>Preeti</b:Last>
            <b:First>Rout</b:First>
          </b:Person>
          <b:Person>
            <b:Last>Marcelle</b:Last>
            <b:First>Meseeha</b:First>
          </b:Person>
        </b:NameList>
      </b:Author>
    </b:Author>
    <b:Title>Anion Gap and Non-Anion Gap Metabolic Acidosis.</b:Title>
    <b:Year>2025</b:Year>
    <b:Publisher>StatPearls</b:Publisher>
    <b:RefOrder>66</b:RefOrder>
  </b:Source>
  <b:Source>
    <b:Tag>AKh05</b:Tag>
    <b:SourceType>Book</b:SourceType>
    <b:Guid>{4C5789AE-3F78-4248-87C0-90447A663D48}</b:Guid>
    <b:Author>
      <b:Author>
        <b:NameList>
          <b:Person>
            <b:Last>A. Khajuria</b:Last>
            <b:First>J.</b:First>
            <b:Middle>Krahn,</b:Middle>
          </b:Person>
        </b:NameList>
      </b:Author>
    </b:Author>
    <b:Title>Osmolality revisited—Deriving and validating the best formula for calculated osmolality,</b:Title>
    <b:Year>2005</b:Year>
    <b:Publisher>Clinical Biochemistry,</b:Publisher>
    <b:Volume>38</b:Volume>
    <b:Pages>514-519</b:Pages>
    <b:DOI>https://doi.org/10.1016/j.clinbiochem.2005.03.001.</b:DOI>
    <b:RefOrder>34</b:RefOrder>
  </b:Source>
  <b:Source>
    <b:Tag>Bab14</b:Tag>
    <b:SourceType>Book</b:SourceType>
    <b:Guid>{BC28A666-4CB0-4A54-A9D2-B82873EDCE3D}</b:Guid>
    <b:Author>
      <b:Author>
        <b:NameList>
          <b:Person>
            <b:Last>Babali</b:Last>
            <b:First>Brahim</b:First>
            <b:Middle>&amp; Kreutz, Karel &amp; Bouazza, M &amp; Miara, Mohamed Djamel &amp; Ait Hammou, Mohamed</b:Middle>
          </b:Person>
        </b:NameList>
      </b:Author>
    </b:Author>
    <b:Title>DECOUVERTE D'UN NO UVEL HYBRIDE DANS LA REGION DE TLEMCEN (NW-ALGERIE): ANACAMPTIS × GENNARII NOTHOSUBSP. REBBASII (= A. PAPILIONACEA. </b:Title>
    <b:Year>2014</b:Year>
    <b:RefOrder>67</b:RefOrder>
  </b:Source>
  <b:Source>
    <b:Tag>Bol22</b:Tag>
    <b:SourceType>Book</b:SourceType>
    <b:Guid>{36BA8EBD-6690-4BE2-9D9A-D4B84F3DD77E}</b:Guid>
    <b:Author>
      <b:Author>
        <b:NameList>
          <b:Person>
            <b:Last>Boles</b:Last>
            <b:First>J.-M.,</b:First>
            <b:Middle>Bollaert, P.-E., Offenstadt, G., Mercat, A., Mira, J.-P., Saulnier, F., &amp; Zéni, F.</b:Middle>
          </b:Person>
        </b:NameList>
      </b:Author>
    </b:Author>
    <b:Title>Réanimation</b:Title>
    <b:Year>2022</b:Year>
    <b:Publisher>Elsevier Masson.</b:Publisher>
    <b:RefOrder>32</b:RefOrder>
  </b:Source>
  <b:Source>
    <b:Tag>alU24</b:Tag>
    <b:SourceType>Book</b:SourceType>
    <b:Guid>{1273B8C1-657E-4AF1-AF63-038F5AA63116}</b:Guid>
    <b:Author>
      <b:Author>
        <b:NameList>
          <b:Person>
            <b:Last>GE</b:Last>
            <b:First>Umpierrez</b:First>
          </b:Person>
        </b:NameList>
      </b:Author>
    </b:Author>
    <b:Title>Hyperglycemic Crises in Adult Patients With Diabetes: A Consensus Statement From the American Diabetes Association.</b:Title>
    <b:Year>2024</b:Year>
    <b:Publisher>Diabetes Care.</b:Publisher>
    <b:DOI>10.2337/dc24-0964</b:DOI>
    <b:RefOrder>35</b:RefOrder>
  </b:Source>
  <b:Source>
    <b:Tag>Ebr22</b:Tag>
    <b:SourceType>Book</b:SourceType>
    <b:Guid>{005A3E00-EA63-4D60-B316-2503971D0F77}</b:Guid>
    <b:Author>
      <b:Author>
        <b:NameList>
          <b:Person>
            <b:Last>Ebrahimi F</b:Last>
            <b:First>Kutz</b:First>
            <b:Middle>A, Christ ER and Szinnai G</b:Middle>
          </b:Person>
        </b:NameList>
      </b:Author>
    </b:Author>
    <b:Title>Lifetime risk and health-care burden of diabetic ketoacidosis: A population-based study.</b:Title>
    <b:Year>2022</b:Year>
    <b:Publisher>Front. Endocrinol</b:Publisher>
    <b:DOI>10.3389/fendo.2022.940990</b:DOI>
    <b:RefOrder>36</b:RefOrder>
  </b:Source>
  <b:Source>
    <b:Tag>Ode23</b:Tag>
    <b:SourceType>Book</b:SourceType>
    <b:Guid>{F5373D39-CA30-4D26-A91E-6D19122A5132}</b:Guid>
    <b:Author>
      <b:Author>
        <b:NameList>
          <b:Person>
            <b:Last>Odeh R</b:Last>
            <b:First>Gharaibeh</b:First>
            <b:Middle>L, Daher A, Albaramki J, Ashour B, Al Barakat F, Dahabreh D, Hadadin H, Melhem T, Alassaf A</b:Middle>
          </b:Person>
        </b:NameList>
      </b:Author>
    </b:Author>
    <b:Title>Frequency, Clinical Characteristics and Predictors of Ketoacidosis at Diagnosis of Type One Diabetes Mellitus in Children and Adolescents from Jordan</b:Title>
    <b:Year>2023</b:Year>
    <b:Publisher> J Clin Res Pediatr Endocrinol. </b:Publisher>
    <b:DOI> 10.4274/jcrpe.galenos.2022.2022-5-8.</b:DOI>
    <b:RefOrder>38</b:RefOrder>
  </b:Source>
  <b:Source>
    <b:Tag>Fay17</b:Tag>
    <b:SourceType>Book</b:SourceType>
    <b:Guid>{BB7D9742-296E-4A1B-8B38-99BDCC0666AC}</b:Guid>
    <b:Author>
      <b:Author>
        <b:NameList>
          <b:Person>
            <b:Last>Fayfman M</b:Last>
            <b:First>Pasquel</b:First>
            <b:Middle>FJ, Umpierrez GE.</b:Middle>
          </b:Person>
        </b:NameList>
      </b:Author>
    </b:Author>
    <b:Title>Management of Hyperglycemic Crises: Diabetic Ketoacidosis and Hyperglycemic Hyperosmolar State</b:Title>
    <b:Year>2017</b:Year>
    <b:Publisher>Med Clin North Am</b:Publisher>
    <b:DOI>10.1016/j.mcna.2016.12.011.</b:DOI>
    <b:RefOrder>37</b:RefOrder>
  </b:Source>
  <b:Source>
    <b:Tag>Xie24</b:Tag>
    <b:SourceType>Book</b:SourceType>
    <b:Guid>{4962EA84-E3FB-42F8-AB56-FDA9ADBA7F06}</b:Guid>
    <b:Author>
      <b:Author>
        <b:NameList>
          <b:Person>
            <b:Last>Xie R</b:Last>
            <b:First>Xie</b:First>
            <b:Middle>H, Gao H, Xie C, Yuan H, Feng Z.</b:Middle>
          </b:Person>
        </b:NameList>
      </b:Author>
    </b:Author>
    <b:Title>Mitochondrial proteins as therapeutic targets in diabetic ketoacidosis: evidence from Mendelian randomization analysis.</b:Title>
    <b:Year>2024</b:Year>
    <b:Publisher>Front Pharmacol</b:Publisher>
    <b:DOI>10.3389/fphar.2024.1448505</b:DOI>
    <b:RefOrder>39</b:RefOrder>
  </b:Source>
  <b:Source>
    <b:Tag>Ket25</b:Tag>
    <b:SourceType>Book</b:SourceType>
    <b:Guid>{D9CC29A5-8D4E-4BC5-8699-7557CC9C732F}</b:Guid>
    <b:Author>
      <b:Author>
        <b:NameList>
          <b:Person>
            <b:Last>Ketan Dhatariya</b:Last>
            <b:First>MD,</b:First>
            <b:Middle>PhD, Omar Mustafa, MD, and Dimitra Stathi, MD, PhD.</b:Middle>
          </b:Person>
        </b:NameList>
      </b:Author>
    </b:Author>
    <b:Title>Hyperglycemic Crises</b:Title>
    <b:Year>2025</b:Year>
    <b:URL>https://www.ncbi.nlm.nih.gov/books/NBK279052/</b:URL>
    <b:RefOrder>42</b:RefOrder>
  </b:Source>
  <b:Source>
    <b:Tag>Aid21</b:Tag>
    <b:SourceType>Book</b:SourceType>
    <b:Guid>{CDFD2F53-78C3-4F57-8CA3-7E7A629BE30C}</b:Guid>
    <b:Author>
      <b:Author>
        <b:NameList>
          <b:Person>
            <b:Last>Aidar R. Gosmanov</b:Last>
            <b:First>Elvira</b:First>
            <b:Middle>O. Gosmanova, Abbas E. Kitabchi</b:Middle>
          </b:Person>
        </b:NameList>
      </b:Author>
    </b:Author>
    <b:Title>HYPERGLYCEMIC CRISES: DIABETIC KETOACIDOSIS AND HYPERGLYCEMIC HYPEROSMOLAR STATE</b:Title>
    <b:Year>2021</b:Year>
    <b:URL>https://endotext.org/wp-content/uploads/pdfs/hyperglycemic-crises-diabetic-ketoacidosis-dka-and-hyperglycemic.pdf</b:URL>
    <b:RefOrder>41</b:RefOrder>
  </b:Source>
  <b:Source>
    <b:Tag>Kve10</b:Tag>
    <b:SourceType>Book</b:SourceType>
    <b:Guid>{62691864-BD5D-4DE6-8577-C0964B1285C1}</b:Guid>
    <b:Author>
      <b:Author>
        <b:NameList>
          <b:Person>
            <b:Last>Kvetny J</b:Last>
            <b:First>Wilms</b:First>
            <b:Middle>L, Pedersen PL, Larsen J.</b:Middle>
          </b:Person>
        </b:NameList>
      </b:Author>
    </b:Author>
    <b:Title>Subclinical hypothyroidism affects mitochondrial function</b:Title>
    <b:Year>2010</b:Year>
    <b:Publisher>Horm Metab Res.</b:Publisher>
    <b:DOI>10.1055/s-0030-1248261</b:DOI>
    <b:RefOrder>40</b:RefOrder>
  </b:Source>
  <b:Source>
    <b:Tag>alA20</b:Tag>
    <b:SourceType>Book</b:SourceType>
    <b:Guid>{A8A7C008-AEDD-4214-9A21-2671497082B3}</b:Guid>
    <b:Author>
      <b:Author>
        <b:NameList>
          <b:Person>
            <b:Last>al</b:Last>
            <b:First>Alice.</b:First>
            <b:Middle>A. Gibson et</b:Middle>
          </b:Person>
        </b:NameList>
      </b:Author>
    </b:Author>
    <b:Title>Urine dipsticks are not accurate for detecting mild ketosis</b:Title>
    <b:Year>2020</b:Year>
    <b:URL>https://onlinelibrary.wiley.com/doi/pdfdirect/10.1002/osp4.432?utm_source=consensus</b:URL>
    <b:RefOrder>68</b:RefOrder>
  </b:Source>
  <b:Source>
    <b:Tag>Dha20</b:Tag>
    <b:SourceType>Book</b:SourceType>
    <b:Guid>{E4877DBC-420E-45E7-856B-05688D7DE20F}</b:Guid>
    <b:Author>
      <b:Author>
        <b:NameList>
          <b:Person>
            <b:Last>Dhatariya</b:Last>
            <b:First>K.,</b:First>
            <b:Middle>Glaser, N., Codner, E., &amp; Umpierrez, G.</b:Middle>
          </b:Person>
        </b:NameList>
      </b:Author>
    </b:Author>
    <b:Title>Diabetic ketoacidosis.</b:Title>
    <b:Year>2020</b:Year>
    <b:Publisher>Nature Reviews Disease Primers</b:Publisher>
    <b:DOI>https://doi.org/10.1038/s41572-020-0165-1.</b:DOI>
    <b:RefOrder>43</b:RefOrder>
  </b:Source>
  <b:Source>
    <b:Tag>Sez24</b:Tag>
    <b:SourceType>Book</b:SourceType>
    <b:Guid>{FB099498-C269-406C-9FAA-4C2E2A0EAD13}</b:Guid>
    <b:Author>
      <b:Author>
        <b:NameList>
          <b:Person>
            <b:Last>Sezer</b:Last>
            <b:First>M.,</b:First>
            <b:Middle>Karacan, C., Tuygun, N., &amp; Şenel, S.</b:Middle>
          </b:Person>
        </b:NameList>
      </b:Author>
    </b:Author>
    <b:Title>Evaluation of the Effect of Fluid and Electrolyte Therapy on Electrolytes and Acidosis Resolution Time in Diabetic Ketoacidosis.</b:Title>
    <b:Year>2024</b:Year>
    <b:Publisher>Turkish Journal of Pediatric Disease.</b:Publisher>
    <b:DOI>https://doi.org/10.12956/tchd.1397313.</b:DOI>
    <b:RefOrder>44</b:RefOrder>
  </b:Source>
  <b:Source>
    <b:Tag>ARh24</b:Tag>
    <b:SourceType>Book</b:SourceType>
    <b:Guid>{23DFC225-0546-4AC8-B0D9-E13FAF2089F0}</b:Guid>
    <b:Author>
      <b:Author>
        <b:NameList>
          <b:Person>
            <b:Last>A</b:Last>
            <b:First>Rhodes</b:First>
          </b:Person>
        </b:NameList>
      </b:Author>
    </b:Author>
    <b:Title>Anion gap as predictor of outcomes in hyperglycemic crises</b:Title>
    <b:Year>2024</b:Year>
    <b:Publisher>Crit Care Med.</b:Publisher>
    <b:DOI>10.1097/CCM.0000000000006123</b:DOI>
    <b:RefOrder>69</b:RefOrder>
  </b:Source>
  <b:Source>
    <b:Tag>alE25</b:Tag>
    <b:SourceType>Book</b:SourceType>
    <b:Guid>{0E7A8371-9AD2-4772-99FE-A4B8C767D2F2}</b:Guid>
    <b:Author>
      <b:Author>
        <b:NameList>
          <b:Person>
            <b:Last>al.</b:Last>
            <b:First>Egi</b:First>
            <b:Middle>M et</b:Middle>
          </b:Person>
        </b:NameList>
      </b:Author>
    </b:Author>
    <b:Title>Osmolality and anion gap in predicting DKA severity</b:Title>
    <b:Year>2025</b:Year>
    <b:Publisher>J Crit Care.</b:Publisher>
    <b:DOI> 10.1016/j.jcrc.2024.154892</b:DOI>
    <b:RefOrder>70</b:RefOrder>
  </b:Source>
  <b:Source>
    <b:Tag>Kra24</b:Tag>
    <b:SourceType>Book</b:SourceType>
    <b:Guid>{1E5037D8-6472-40DE-A0A1-9A1683F9688F}</b:Guid>
    <b:Author>
      <b:Author>
        <b:NameList>
          <b:Person>
            <b:Last>Kraut JA</b:Last>
            <b:First>Madias</b:First>
            <b:Middle>NE</b:Middle>
          </b:Person>
        </b:NameList>
      </b:Author>
    </b:Author>
    <b:Title>Lactic acidosis and diabetic ketoacidosis: intersections and distinctions.</b:Title>
    <b:Year>2024</b:Year>
    <b:Publisher>Kidney Int.</b:Publisher>
    <b:DOI>10.1016/j.kint.2023.11.023</b:DOI>
    <b:RefOrder>46</b:RefOrder>
  </b:Source>
  <b:Source>
    <b:Tag>Kli21</b:Tag>
    <b:SourceType>Book</b:SourceType>
    <b:Guid>{86450D1C-5C31-4195-8AD8-8C8623F8D6C6}</b:Guid>
    <b:Author>
      <b:Author>
        <b:NameList>
          <b:Person>
            <b:Last>al</b:Last>
            <b:First>Klingele</b:First>
            <b:Middle>M et</b:Middle>
          </b:Person>
        </b:NameList>
      </b:Author>
    </b:Author>
    <b:Title>Hemodynamic patterns in severe DKA</b:Title>
    <b:Year>2021</b:Year>
    <b:Publisher>Ann Intensive Care.</b:Publisher>
    <b:DOI>10.1186/s13613-021-00876-4</b:DOI>
    <b:RefOrder>71</b:RefOrder>
  </b:Source>
  <b:Source>
    <b:Tag>Bla19</b:Tag>
    <b:SourceType>Book</b:SourceType>
    <b:Guid>{4238BE4D-B6C5-413C-86EB-98B3F95F7424}</b:Guid>
    <b:Author>
      <b:Author>
        <b:NameList>
          <b:Person>
            <b:Last>Blanchard</b:Last>
            <b:First>F.,</b:First>
            <b:Middle>Charbit, J., Van Der Meersch, G., Popoff, B., Picod, A., Cohen, R., Chemouni, F., Gaudry, S., Bihan, H., &amp; Cohen, Y.</b:Middle>
          </b:Person>
        </b:NameList>
      </b:Author>
    </b:Author>
    <b:Title>Early sepsis markers in patients admitted to intensive care unit with moderate-to-severe diabetic ketoacidosis</b:Title>
    <b:Year>2019</b:Year>
    <b:Publisher>Annals of Intensive Care,</b:Publisher>
    <b:DOI>https://doi.org/10.1186/s13613-020-00676-6.</b:DOI>
    <b:RefOrder>49</b:RefOrder>
  </b:Source>
  <b:Source>
    <b:Tag>Kra241</b:Tag>
    <b:SourceType>Book</b:SourceType>
    <b:Guid>{7B94A87C-8E74-4890-870B-4D3F96552295}</b:Guid>
    <b:Author>
      <b:Author>
        <b:NameList>
          <b:Person>
            <b:Last>Krausova</b:Last>
            <b:First>V.,</b:First>
            <b:Middle>Neumann, D., Škvor, J., &amp; Dostál, P</b:Middle>
          </b:Person>
        </b:NameList>
      </b:Author>
    </b:Author>
    <b:Title>Changes of Sublingual Microcirculation during the Treatment of Severe Diabetic Ketoacidosis</b:Title>
    <b:Year>2024</b:Year>
    <b:Publisher>Journal of Clinical Medicine</b:Publisher>
    <b:DOI>https://doi.org/10.3390/jcm13061655.</b:DOI>
    <b:RefOrder>50</b:RefOrder>
  </b:Source>
  <b:Source>
    <b:Tag>Che20</b:Tag>
    <b:SourceType>Book</b:SourceType>
    <b:Guid>{EFAF8AA4-3A7A-4BF7-AB52-719104A42E19}</b:Guid>
    <b:Author>
      <b:Author>
        <b:NameList>
          <b:Person>
            <b:Last>Chen</b:Last>
            <b:First>J.,</b:First>
            <b:Middle>Zeng, H., Ouyang, X., Zhu, M., Huang, Q., Yu, W., Ling, L., Lan, H., Xu, A., &amp; Tang, Y</b:Middle>
          </b:Person>
        </b:NameList>
      </b:Author>
    </b:Author>
    <b:Title>The incidence, risk factors, and long-term outcomes of acute kidney injury in hospitalized diabetic ketoacidosis patients.</b:Title>
    <b:Year>2020</b:Year>
    <b:Publisher>MC Nephrology</b:Publisher>
    <b:DOI>https://doi.org/10.1186/s12882-020-1709-z.</b:DOI>
    <b:RefOrder>72</b:RefOrder>
  </b:Source>
  <b:Source>
    <b:Tag>Aly25</b:Tag>
    <b:SourceType>Book</b:SourceType>
    <b:Guid>{B0B9CCC5-6131-4D57-BC77-10314EA69A0D}</b:Guid>
    <b:Author>
      <b:Author>
        <b:NameList>
          <b:Person>
            <b:Last>Alyahyawi</b:Last>
            <b:First>N.,</b:First>
            <b:Middle>Alghamdi, D., Almahmoudi, A., Sandokji, I., Bokhari, S., Safdar, O., Shalaby, M., Shazly, M., &amp; Kari, J.</b:Middle>
          </b:Person>
        </b:NameList>
      </b:Author>
    </b:Author>
    <b:Title>Risk factors of acute kidney injury in children with diabetic ketoacidosis</b:Title>
    <b:Year>2025</b:Year>
    <b:Publisher>BMC Nephrology,</b:Publisher>
    <b:DOI>https://doi.org/10.1186/s12882-025-04178-0.</b:DOI>
    <b:RefOrder>48</b:RefOrder>
  </b:Source>
  <b:Source>
    <b:Tag>Zub20</b:Tag>
    <b:SourceType>Book</b:SourceType>
    <b:Guid>{48F0713D-9750-41BD-9BBB-490A893635EC}</b:Guid>
    <b:Author>
      <b:Author>
        <b:NameList>
          <b:Person>
            <b:Last>Zubkiewicz-Kucharska</b:Last>
            <b:First>A.,</b:First>
            <b:Middle>Gorlo, A., &amp; Noczyńska, A.</b:Middle>
          </b:Person>
        </b:NameList>
      </b:Author>
    </b:Author>
    <b:Title>Acute hypoxic hepatitis as a complication of diabetic ketoacidosis in a boy with newly diagnosed diabetes..</b:Title>
    <b:Year>2020</b:Year>
    <b:Publisher>Pediatric endocrinology, diabetes, and metabolism</b:Publisher>
    <b:DOI>https://doi.org/10.5114/pedm.2020.95628.</b:DOI>
    <b:RefOrder>51</b:RefOrder>
  </b:Source>
  <b:Source>
    <b:Tag>Gha20</b:Tag>
    <b:SourceType>Book</b:SourceType>
    <b:Guid>{8E0122BA-4F04-4967-AF78-66CC4B4CA1DC}</b:Guid>
    <b:Author>
      <b:Author>
        <b:NameList>
          <b:Person>
            <b:Last>Ghada A. Mohamed</b:Last>
            <b:First>Mohamed</b:First>
            <b:Middle>Z. Abd-Elrahman</b:Middle>
          </b:Person>
        </b:NameList>
      </b:Author>
    </b:Author>
    <b:Title>Inflammatory cytokine and plasma Creactive protein response to ketoacidosis in</b:Title>
    <b:Year>2020</b:Year>
    <b:Publisher>The Egyptian Journal of Internal Medicine</b:Publisher>
    <b:DOI> https://doi.org/10.1186/s43162-020-00011-2</b:DOI>
    <b:RefOrder>54</b:RefOrder>
  </b:Source>
  <b:Source>
    <b:Tag>alP23</b:Tag>
    <b:SourceType>Book</b:SourceType>
    <b:Guid>{6428A7B3-7501-4A00-AB1B-47A92C934332}</b:Guid>
    <b:Author>
      <b:Author>
        <b:NameList>
          <b:Person>
            <b:Last>Patel</b:Last>
            <b:First>R</b:First>
            <b:Middle>et al</b:Middle>
          </b:Person>
        </b:NameList>
      </b:Author>
    </b:Author>
    <b:Title>Respiratory patterns predict DKA severity.</b:Title>
    <b:Year>2023</b:Year>
    <b:Publisher>Chest</b:Publisher>
    <b:DOI>10.1016/j.chest.2022.11.023</b:DOI>
    <b:RefOrder>47</b:RefOrder>
  </b:Source>
  <b:Source>
    <b:Tag>Mro23</b:Tag>
    <b:SourceType>Book</b:SourceType>
    <b:Guid>{C85CBB9E-A25A-4C7B-B7C6-A53C9E851A94}</b:Guid>
    <b:Author>
      <b:Author>
        <b:NameList>
          <b:Person>
            <b:Last>Mrozikiewicz-Rakowska</b:Last>
            <b:First>B</b:First>
            <b:Middle>et al</b:Middle>
          </b:Person>
        </b:NameList>
      </b:Author>
    </b:Author>
    <b:Title>Acute kidney injury in DKA: biomarkers and outcomes.</b:Title>
    <b:Year>2023</b:Year>
    <b:Publisher>J Clin Endocrinol Metab</b:Publisher>
    <b:DOI>DOI: 10.1210/clinem/dgad012</b:DOI>
    <b:RefOrder>52</b:RefOrder>
  </b:Source>
  <b:Source>
    <b:Tag>Bel25</b:Tag>
    <b:SourceType>Book</b:SourceType>
    <b:Guid>{8C9A230F-B10A-4206-A685-E89B66DD9926}</b:Guid>
    <b:Author>
      <b:Author>
        <b:NameList>
          <b:Person>
            <b:Last>Bellomo</b:Last>
            <b:First>R</b:First>
            <b:Middle>et al</b:Middle>
          </b:Person>
        </b:NameList>
      </b:Author>
    </b:Author>
    <b:Title>Liver dysfunction predicts mortality in DKA.</b:Title>
    <b:Year>2025</b:Year>
    <b:Publisher>Crit Care</b:Publisher>
    <b:DOI>10.1186/s13054-025-04987-3</b:DOI>
    <b:RefOrder>53</b:RefOrder>
  </b:Source>
  <b:Source>
    <b:Tag>Pas24</b:Tag>
    <b:SourceType>Book</b:SourceType>
    <b:Guid>{40318210-5DDD-4B08-AA83-6B1F79C8922A}</b:Guid>
    <b:Author>
      <b:Author>
        <b:NameList>
          <b:Person>
            <b:Last>Pasquale</b:Last>
            <b:First>M</b:First>
            <b:Middle>et al</b:Middle>
          </b:Person>
        </b:NameList>
      </b:Author>
    </b:Author>
    <b:Title>Hyperosmolar hyperglycemic state and diabetic ketoacidosis in adults with diabetes.</b:Title>
    <b:Year>2024</b:Year>
    <b:Publisher>Lancet Diabetes Endocrinol</b:Publisher>
    <b:DOI> 10.1016/S2213-8587(23)00394-</b:DOI>
    <b:RefOrder>73</b:RefOrder>
  </b:Source>
  <b:Source>
    <b:Tag>Mar26</b:Tag>
    <b:SourceType>Book</b:SourceType>
    <b:Guid>{4F7E863D-411D-4EF4-8034-8274707BAB9B}</b:Guid>
    <b:Author>
      <b:Author>
        <b:NameList>
          <b:Person>
            <b:Last>Martinez</b:Last>
            <b:First>J</b:First>
            <b:Middle>et al.</b:Middle>
          </b:Person>
        </b:NameList>
      </b:Author>
    </b:Author>
    <b:Title>Cerebral edema and metabolic coma in diabetic ketoacidosis: prospective cohort study</b:Title>
    <b:Year>2026</b:Year>
    <b:Publisher>Neurology</b:Publisher>
    <b:DOI>10.1212/WNL.0000000000209876</b:DOI>
    <b:RefOrder>74</b:RefOrder>
  </b:Source>
  <b:Source>
    <b:Tag>Zha26</b:Tag>
    <b:SourceType>Book</b:SourceType>
    <b:Guid>{1F8C75DD-253E-4177-A35D-D69C8CA1094F}</b:Guid>
    <b:Author>
      <b:Author>
        <b:NameList>
          <b:Person>
            <b:Last>Zhang</b:Last>
            <b:First>L</b:First>
            <b:Middle>et al.</b:Middle>
          </b:Person>
        </b:NameList>
      </b:Author>
    </b:Author>
    <b:Title>Mitochondrial lactate shuttling failure predicts coma in DKA: multi-omics analysis.</b:Title>
    <b:Year>2026</b:Year>
    <b:Publisher>Nat Metab.</b:Publisher>
    <b:DOI>10.1038/s42255-025-01345-7 </b:DOI>
    <b:RefOrder>75</b:RefOrder>
  </b:Source>
  <b:Source>
    <b:Tag>Dha22</b:Tag>
    <b:SourceType>Book</b:SourceType>
    <b:Guid>{C894ACFA-4628-4DDB-BC1B-0D57233BA869}</b:Guid>
    <b:Author>
      <b:Author>
        <b:NameList>
          <b:Person>
            <b:Last>Dhatariya</b:Last>
            <b:First>KK</b:First>
            <b:Middle>et al</b:Middle>
          </b:Person>
        </b:NameList>
      </b:Author>
    </b:Author>
    <b:Title>Diabetic Medicine: Joint British Diabetes Societies for Inpatient Care: An updated algorithm for managing diabetic ketoacidosis.</b:Title>
    <b:Year>2022</b:Year>
    <b:DOI>10.1111/dme.14788</b:DOI>
    <b:RefOrder>76</b:RefOrder>
  </b:Source>
  <b:Source>
    <b:Tag>Ooi21</b:Tag>
    <b:SourceType>Book</b:SourceType>
    <b:Guid>{0BCD13FD-B582-4682-97B0-5928B8DD0113}</b:Guid>
    <b:Author>
      <b:Author>
        <b:NameList>
          <b:Person>
            <b:Last>Ooi E</b:Last>
            <b:First>Nash</b:First>
            <b:Middle>K, Rengarajan L, Melson E, Thomas L, Johnson A, Zhou D, Wallett L, Ghosh S, Narendran P, Kempegowda P</b:Middle>
          </b:Person>
        </b:NameList>
      </b:Author>
    </b:Author>
    <b:Title>Clinical and biochemical profile of 786 sequential episodes of diabetic ketoacidosis in adults with type 1 and type 2 diabetes mellitus</b:Title>
    <b:Year>2021</b:Year>
    <b:Publisher>BMJ Open Diabetes Res Care.</b:Publisher>
    <b:DOI>10.1136/bmjdrc-2021-002451</b:DOI>
    <b:RefOrder>55</b:RefOrder>
  </b:Source>
  <b:Source>
    <b:Tag>Placeholder1</b:Tag>
    <b:SourceType>Book</b:SourceType>
    <b:Guid>{B2176804-15E0-4A7F-99B7-74C89BC8321E}</b:Guid>
    <b:Author>
      <b:Author>
        <b:NameList>
          <b:Person>
            <b:Last>Ooi E</b:Last>
            <b:First>Nash</b:First>
            <b:Middle>K, Rengarajan L, Melson E, Thomas L, Johnson A, Zhou D, Wallett L, Ghosh S, Narendran P, Kempegowda P</b:Middle>
          </b:Person>
        </b:NameList>
      </b:Author>
    </b:Author>
    <b:Title>Clinical and biochemical profile of 786 sequential episodes of diabetic ketoacidosis in adults with type 1 and type 2 diabetes mellitus</b:Title>
    <b:Year>21</b:Year>
    <b:Publisher>BMJ Open Diabetes Res Care.</b:Publisher>
    <b:DOI>10.1136/bmjdrc-2021-002451</b:DOI>
    <b:RefOrder>77</b:RefOrder>
  </b:Source>
  <b:Source>
    <b:Tag>Ann24</b:Tag>
    <b:SourceType>Book</b:SourceType>
    <b:Guid>{A1042CA5-B626-400A-9765-7A8F8618A1A6}</b:Guid>
    <b:Year>2024</b:Year>
    <b:Publisher>Ann Intensive Care</b:Publisher>
    <b:Author>
      <b:Author>
        <b:NameList>
          <b:Person>
            <b:Last>Klingele M</b:Last>
            <b:First>Park</b:First>
            <b:Middle>SY, Hübner T, et al</b:Middle>
          </b:Person>
        </b:NameList>
      </b:Author>
    </b:Author>
    <b:DOI>10.1186/s13613-024-01234-5</b:DOI>
    <b:Title>Hemodynamic and hemostatic abnormalities in severe diabetic ketoacidosis: prospective cohort study</b:Title>
    <b:RefOrder>56</b:RefOrder>
  </b:Source>
  <b:Source>
    <b:Tag>BFè08</b:Tag>
    <b:SourceType>Book</b:SourceType>
    <b:Guid>{FBDA13DB-30C8-40F3-9594-2714281732ED}</b:Guid>
    <b:Author>
      <b:Author>
        <b:NameList>
          <b:Person>
            <b:Last>Fève</b:Last>
            <b:First>B</b:First>
          </b:Person>
        </b:NameList>
      </b:Author>
    </b:Author>
    <b:Title>Dysfonction endothéliale au cours du diabète : déséquilibre des voies de signalisation et implication du stress oxydatif,</b:Title>
    <b:Year>2008</b:Year>
    <b:Publisher>Médecine des Maladies Métaboliques,</b:Publisher>
    <b:Volume> 2</b:Volume>
    <b:Pages>198-203</b:Pages>
    <b:DOI>https://doi.org/10.1016/S1957-2557(08)70626-6.</b:DOI>
    <b:RefOrder>12</b:RefOrder>
  </b:Source>
  <b:Source>
    <b:Tag>alF22</b:Tag>
    <b:SourceType>Book</b:SourceType>
    <b:Guid>{FB955BCC-08DE-49E5-AC05-B8A31C6A422F}</b:Guid>
    <b:Author>
      <b:Author>
        <b:NameList>
          <b:Person>
            <b:Last>Fadini</b:Last>
            <b:First>GP</b:First>
            <b:Middle>et al</b:Middle>
          </b:Person>
        </b:NameList>
      </b:Author>
    </b:Author>
    <b:Title>Hyperlactatemia predicts mortality in diabetic ketoacidosis.</b:Title>
    <b:Year>2022</b:Year>
    <b:Publisher>Diabetes Care</b:Publisher>
    <b:DOI> 10.2337/dc22-0456</b:DOI>
    <b:RefOrder>45</b:RefOrder>
  </b:Source>
  <b:Source>
    <b:Tag>Lon20</b:Tag>
    <b:SourceType>ArticleInAPeriodical</b:SourceType>
    <b:Guid>{18578CEE-3E20-47C0-B2FA-3B5D178B1A39}</b:Guid>
    <b:Title>Evaluation and Management of the Critically Ill Adult With Diabetic Ketoacidosis</b:Title>
    <b:Year>2020</b:Year>
    <b:Author>
      <b:Author>
        <b:NameList>
          <b:Person>
            <b:Last>Long B</b:Last>
            <b:First>Willis</b:First>
            <b:Middle>GC, Lentz S, Koyfman A, Gottlieb M</b:Middle>
          </b:Person>
        </b:NameList>
      </b:Author>
    </b:Author>
    <b:PeriodicalTitle>J Emerg Med.</b:PeriodicalTitle>
    <b:Pages>371-383</b:Pages>
    <b:DOI>10.1016/j.jemermed.2020.06.059.</b:DOI>
    <b:RefOrder>58</b:RefOrder>
  </b:Source>
  <b:Source>
    <b:Tag>Kar19</b:Tag>
    <b:SourceType>ArticleInAPeriodical</b:SourceType>
    <b:Guid>{066B1230-DF1E-4FE7-9806-4FA2AFF39F43}</b:Guid>
    <b:Author>
      <b:Author>
        <b:NameList>
          <b:Person>
            <b:Last>Karslioglu French E</b:Last>
            <b:First>Donihi</b:First>
            <b:Middle>A C, Korytkowski M T</b:Middle>
          </b:Person>
        </b:NameList>
      </b:Author>
    </b:Author>
    <b:Title>Diabetic ketoacidosis and hyperosmolar hyperglycemic syndrome: review of acute decompensated diabetes in adult patients</b:Title>
    <b:Year>2019</b:Year>
    <b:DOI>10.1136/bmj.l1114</b:DOI>
    <b:RefOrder>57</b:RefOrder>
  </b:Source>
  <b:Source>
    <b:Tag>Bla20</b:Tag>
    <b:SourceType>ArticleInAPeriodical</b:SourceType>
    <b:Guid>{4F2E52C4-83AF-4F70-9DD6-C069046BAF15}</b:Guid>
    <b:Author>
      <b:Author>
        <b:NameList>
          <b:Person>
            <b:Last>Blank SP</b:Last>
            <b:First>Blank</b:First>
            <b:Middle>RM, Ziegenfuss MD</b:Middle>
          </b:Person>
        </b:NameList>
      </b:Author>
    </b:Author>
    <b:Title>The importance of hyperosmolarity in diabetic ketoacidosis</b:Title>
    <b:PeriodicalTitle>Diabet Med</b:PeriodicalTitle>
    <b:Year>2020</b:Year>
    <b:DOI>10.1111/dme.14277</b:DOI>
    <b:RefOrder>59</b:RefOrder>
  </b:Source>
  <b:Source>
    <b:Tag>Bla23</b:Tag>
    <b:SourceType>ArticleInAPeriodical</b:SourceType>
    <b:Guid>{BEC5146B-3FE7-459A-9ED6-B87E6ED763CC}</b:Guid>
    <b:Author>
      <b:Author>
        <b:NameList>
          <b:Person>
            <b:Last>Blank SP</b:Last>
            <b:First>Blank</b:First>
            <b:Middle>RM.</b:Middle>
          </b:Person>
        </b:NameList>
      </b:Author>
    </b:Author>
    <b:Title>Mind the gap: Measured and Calculated Osmolarity are Not Interchangeable in Diabetic Hyperglycemic Emergencies</b:Title>
    <b:PeriodicalTitle>Exp Clin Endocrinol Diabetes.</b:PeriodicalTitle>
    <b:Year>2023</b:Year>
    <b:Pages>268-273</b:Pages>
    <b:DOI>10.1055/a-2039-0978</b:DOI>
    <b:RefOrder>60</b:RefOrder>
  </b:Source>
  <b:Source>
    <b:Tag>Sel20</b:Tag>
    <b:SourceType>ArticleInAPeriodical</b:SourceType>
    <b:Guid>{892D859B-05D7-49F8-9825-9583EEC5602B}</b:Guid>
    <b:Author>
      <b:Author>
        <b:NameList>
          <b:Person>
            <b:Last>Self WH</b:Last>
            <b:First>Evans</b:First>
            <b:Middle>CS, Jenkins CA, Brown RM, Casey JD, Collins SP, Coston TD, Felbinger M, Flemmons LN, Hellervik SM, Lindsell CJ, Liu D, McCoin NS, Niswender KD, Slovis CM, Stollings JL, Wang L, Rice TW, Semler MW</b:Middle>
          </b:Person>
        </b:NameList>
      </b:Author>
    </b:Author>
    <b:Title>Clinical Effects of Balanced Crystalloids vs Saline in Adults With Diabetic Ketoacidosis: A Subgroup Analysis of Cluster Randomized Clinical Trials</b:Title>
    <b:PeriodicalTitle>JAMA Netw Open.</b:PeriodicalTitle>
    <b:Year>2020</b:Year>
    <b:DOI>10.1001/jamanetworkopen.2020.24596.</b:DOI>
    <b:RefOrder>61</b:RefOrder>
  </b:Source>
  <b:Source>
    <b:Tag>WuX20</b:Tag>
    <b:SourceType>ArticleInAPeriodical</b:SourceType>
    <b:Guid>{830219F5-2FA9-4F71-93BF-C389FE92F13E}</b:Guid>
    <b:Author>
      <b:Author>
        <b:NameList>
          <b:Person>
            <b:Last>Wu</b:Last>
            <b:First>Xy.,</b:First>
            <b:Middle>She, Dm., Wang, F. et al.</b:Middle>
          </b:Person>
        </b:NameList>
      </b:Author>
    </b:Author>
    <b:Title>Clinical profiles, outcomes and risk factors among type 2 diabetic inpatients with diabetic ketoacidosis and hyperglycemic hyperosmolar state: a hospital-based analysis over a 6-year period.</b:Title>
    <b:PeriodicalTitle>BMC Endocr Disord</b:PeriodicalTitle>
    <b:Year>2020</b:Year>
    <b:DOI>https://doi.org/10.1186/s12902-020-00659-5</b:DOI>
    <b:RefOrder>62</b:RefOrder>
  </b:Source>
</b:Sourc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3BD363-AD7E-4544-A882-02ED8B285E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130</Pages>
  <Words>26052</Words>
  <Characters>143288</Characters>
  <Application>Microsoft Office Word</Application>
  <DocSecurity>0</DocSecurity>
  <Lines>1194</Lines>
  <Paragraphs>338</Paragraphs>
  <ScaleCrop>false</ScaleCrop>
  <Company/>
  <LinksUpToDate>false</LinksUpToDate>
  <CharactersWithSpaces>169002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creator>nadia meziane</dc:creator>
  <cp:lastModifiedBy>nadia meziane</cp:lastModifiedBy>
  <cp:revision>2</cp:revision>
  <dcterms:created xsi:type="dcterms:W3CDTF">2026-06-13T15:20:00Z</dcterms:created>
  <dcterms:modified xsi:type="dcterms:W3CDTF">2026-06-13T15:20:00Z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eyJoZGlkIjoiOTk0N2Y5NjEyZGQ4MjRiMWMwYTY1ZTdiZjYzNmI0MDEifQ==</vt:lpwstr>
  </property>
  <property fmtid="{D5CDD505-2E9C-101B-9397-08002B2CF9AE}" pid="3" name="KSOProductBuildVer">
    <vt:lpwstr>1036-12.1.0.25862</vt:lpwstr>
  </property>
  <property fmtid="{D5CDD505-2E9C-101B-9397-08002B2CF9AE}" pid="4" name="ICV">
    <vt:lpwstr>A72F965F58CE40B1BDB02C833C48CA13_12</vt:lpwstr>
  </property>
</Properties>
</file>