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B77" w:rsidRPr="00C46CDE" w:rsidRDefault="00C46CDE" w:rsidP="00E27820">
      <w:pPr>
        <w:spacing w:after="0" w:line="360" w:lineRule="auto"/>
        <w:ind w:firstLine="284"/>
        <w:jc w:val="both"/>
        <w:rPr>
          <w:rFonts w:ascii="Times New Roman" w:eastAsia="Times New Roman" w:hAnsi="Times New Roman" w:cs="Times New Roman"/>
          <w:b/>
          <w:bCs/>
          <w:i/>
          <w:iCs/>
          <w:sz w:val="24"/>
          <w:szCs w:val="24"/>
        </w:rPr>
      </w:pPr>
      <w:r w:rsidRPr="00C46CDE">
        <w:rPr>
          <w:rFonts w:ascii="Times New Roman" w:eastAsia="Times New Roman" w:hAnsi="Times New Roman" w:cs="Times New Roman"/>
          <w:b/>
          <w:bCs/>
          <w:i/>
          <w:iCs/>
          <w:sz w:val="24"/>
          <w:szCs w:val="24"/>
        </w:rPr>
        <w:t>INTRODUCTION GENERALE</w:t>
      </w:r>
    </w:p>
    <w:p w:rsidR="00671F21" w:rsidRPr="0089364F" w:rsidRDefault="00671F21" w:rsidP="00E27820">
      <w:pPr>
        <w:spacing w:after="0" w:line="360" w:lineRule="auto"/>
        <w:ind w:firstLine="284"/>
        <w:jc w:val="both"/>
        <w:rPr>
          <w:rFonts w:ascii="Times New Roman" w:eastAsia="Times New Roman" w:hAnsi="Times New Roman" w:cs="Times New Roman"/>
          <w:sz w:val="24"/>
          <w:szCs w:val="24"/>
        </w:rPr>
      </w:pPr>
      <w:r w:rsidRPr="00671F21">
        <w:rPr>
          <w:rFonts w:ascii="Times New Roman" w:eastAsia="Times New Roman" w:hAnsi="Times New Roman" w:cs="Times New Roman"/>
          <w:sz w:val="24"/>
          <w:szCs w:val="24"/>
        </w:rPr>
        <w:t>Ces dernières années, différents rapports de recherche ont attiré l'attention sur une nouvelle classe de solides microporeux et mésoporeux par intercalation des argiles, telles que la montmorillonite, avec des macrocations. Ces matériaux ont trouvé un large champ d'applications potentielles dans des procédés catalytiques. Le concept de piliers consistait à convertir les feuillets d'argile en matériau</w:t>
      </w:r>
      <w:r w:rsidR="00E27820">
        <w:rPr>
          <w:rFonts w:ascii="Times New Roman" w:eastAsia="Times New Roman" w:hAnsi="Times New Roman" w:cs="Times New Roman"/>
          <w:sz w:val="24"/>
          <w:szCs w:val="24"/>
        </w:rPr>
        <w:t>x</w:t>
      </w:r>
      <w:r w:rsidRPr="00671F21">
        <w:rPr>
          <w:rFonts w:ascii="Times New Roman" w:eastAsia="Times New Roman" w:hAnsi="Times New Roman" w:cs="Times New Roman"/>
          <w:sz w:val="24"/>
          <w:szCs w:val="24"/>
        </w:rPr>
        <w:t xml:space="preserve"> de structure très poreuse par l'échange des cations de compensation avec une grande variété d'espèces inorganiques polycationiques. Après traitement à haute température, ces </w:t>
      </w:r>
      <w:r w:rsidRPr="0089364F">
        <w:rPr>
          <w:rFonts w:ascii="Times New Roman" w:eastAsia="Times New Roman" w:hAnsi="Times New Roman" w:cs="Times New Roman"/>
          <w:sz w:val="24"/>
          <w:szCs w:val="24"/>
        </w:rPr>
        <w:t>espèces polycationiques sont transformées après déshydratation et de déshydroxylation en piliers rigides, reliant en permanence les feuilles de silicates. Ce processus « </w:t>
      </w:r>
      <w:r w:rsidRPr="0089364F">
        <w:rPr>
          <w:rFonts w:ascii="Times New Roman" w:eastAsia="Times New Roman" w:hAnsi="Times New Roman" w:cs="Times New Roman"/>
          <w:i/>
          <w:iCs/>
          <w:sz w:val="24"/>
          <w:szCs w:val="24"/>
        </w:rPr>
        <w:t>de pilier</w:t>
      </w:r>
      <w:r w:rsidRPr="0089364F">
        <w:rPr>
          <w:rFonts w:ascii="Times New Roman" w:eastAsia="Times New Roman" w:hAnsi="Times New Roman" w:cs="Times New Roman"/>
          <w:sz w:val="24"/>
          <w:szCs w:val="24"/>
        </w:rPr>
        <w:t> » conduit à la formation de deux dimensions micro et/ou des matériaux mésoporeux, connu sous le nom argiles pontées interstratifiées (PILC(s)</w:t>
      </w:r>
      <w:r w:rsidR="00E27820" w:rsidRPr="0089364F">
        <w:rPr>
          <w:rFonts w:ascii="Times New Roman" w:eastAsia="Times New Roman" w:hAnsi="Times New Roman" w:cs="Times New Roman"/>
          <w:sz w:val="24"/>
          <w:szCs w:val="24"/>
        </w:rPr>
        <w:t xml:space="preserve">) qui est </w:t>
      </w:r>
      <w:r w:rsidRPr="0089364F">
        <w:rPr>
          <w:rFonts w:ascii="Times New Roman" w:eastAsia="Times New Roman" w:hAnsi="Times New Roman" w:cs="Times New Roman"/>
          <w:sz w:val="24"/>
          <w:szCs w:val="24"/>
        </w:rPr>
        <w:t xml:space="preserve">caractérisé par de grandes surfaces, porosités élevées, des propriétés acides et une bonne stabilité thermique. </w:t>
      </w:r>
    </w:p>
    <w:p w:rsidR="00671F21" w:rsidRPr="0089364F" w:rsidRDefault="00671F21" w:rsidP="00075B77">
      <w:pPr>
        <w:spacing w:after="0" w:line="360" w:lineRule="auto"/>
        <w:ind w:firstLine="284"/>
        <w:jc w:val="both"/>
        <w:textAlignment w:val="top"/>
        <w:rPr>
          <w:rFonts w:ascii="Times New Roman" w:eastAsia="Times New Roman" w:hAnsi="Times New Roman" w:cs="Times New Roman"/>
          <w:sz w:val="24"/>
          <w:szCs w:val="24"/>
        </w:rPr>
      </w:pPr>
      <w:r w:rsidRPr="0089364F">
        <w:rPr>
          <w:rFonts w:ascii="Times New Roman" w:eastAsia="Times New Roman" w:hAnsi="Times New Roman" w:cs="Times New Roman"/>
          <w:sz w:val="24"/>
          <w:szCs w:val="24"/>
        </w:rPr>
        <w:t>L'un des domaines les plus intéressants de PILC(s) est la catalyse. En dépit des propriétés intéressantes catalytiques de TiO</w:t>
      </w:r>
      <w:r w:rsidRPr="0089364F">
        <w:rPr>
          <w:rFonts w:ascii="Times New Roman" w:eastAsia="Times New Roman" w:hAnsi="Times New Roman" w:cs="Times New Roman"/>
          <w:sz w:val="24"/>
          <w:szCs w:val="24"/>
          <w:vertAlign w:val="subscript"/>
        </w:rPr>
        <w:t>2</w:t>
      </w:r>
      <w:r w:rsidR="00075B77">
        <w:rPr>
          <w:rFonts w:ascii="Times New Roman" w:eastAsia="Times New Roman" w:hAnsi="Times New Roman" w:cs="Times New Roman"/>
          <w:sz w:val="24"/>
          <w:szCs w:val="24"/>
        </w:rPr>
        <w:t>,</w:t>
      </w:r>
      <w:r w:rsidRPr="0089364F">
        <w:rPr>
          <w:rFonts w:ascii="Times New Roman" w:eastAsia="Times New Roman" w:hAnsi="Times New Roman" w:cs="Times New Roman"/>
          <w:sz w:val="24"/>
          <w:szCs w:val="24"/>
        </w:rPr>
        <w:t xml:space="preserve"> peu d'articles s’intéressent à la préparation et à l'activité catalytique des </w:t>
      </w:r>
      <w:r w:rsidR="00E27820" w:rsidRPr="0089364F">
        <w:rPr>
          <w:rFonts w:ascii="Times New Roman" w:eastAsia="Times New Roman" w:hAnsi="Times New Roman" w:cs="Times New Roman"/>
          <w:sz w:val="24"/>
          <w:szCs w:val="24"/>
        </w:rPr>
        <w:t>V/</w:t>
      </w:r>
      <w:r w:rsidRPr="0089364F">
        <w:rPr>
          <w:rFonts w:ascii="Times New Roman" w:eastAsia="Times New Roman" w:hAnsi="Times New Roman" w:cs="Times New Roman"/>
          <w:sz w:val="24"/>
          <w:szCs w:val="24"/>
        </w:rPr>
        <w:t>Ti-PILC(s).</w:t>
      </w:r>
    </w:p>
    <w:p w:rsidR="00671F21" w:rsidRPr="00671F21" w:rsidRDefault="00671F21" w:rsidP="00671F21">
      <w:pPr>
        <w:spacing w:after="0" w:line="360" w:lineRule="auto"/>
        <w:ind w:firstLine="284"/>
        <w:jc w:val="both"/>
        <w:textAlignment w:val="top"/>
        <w:rPr>
          <w:rFonts w:ascii="Times New Roman" w:eastAsia="Times New Roman" w:hAnsi="Times New Roman" w:cs="Times New Roman"/>
          <w:sz w:val="24"/>
          <w:szCs w:val="24"/>
        </w:rPr>
      </w:pPr>
      <w:r w:rsidRPr="0089364F">
        <w:rPr>
          <w:rFonts w:ascii="Times New Roman" w:eastAsia="Times New Roman" w:hAnsi="Times New Roman" w:cs="Times New Roman"/>
          <w:sz w:val="24"/>
          <w:szCs w:val="24"/>
        </w:rPr>
        <w:t xml:space="preserve">Au vue de ce qui précède, nous nous sommes intéressés à l’étude de l'activité catalytique des </w:t>
      </w:r>
      <w:r w:rsidR="00E27820" w:rsidRPr="0089364F">
        <w:rPr>
          <w:rFonts w:ascii="Times New Roman" w:eastAsia="Times New Roman" w:hAnsi="Times New Roman" w:cs="Times New Roman"/>
          <w:sz w:val="24"/>
          <w:szCs w:val="24"/>
        </w:rPr>
        <w:t>V/</w:t>
      </w:r>
      <w:r w:rsidRPr="0089364F">
        <w:rPr>
          <w:rFonts w:ascii="Times New Roman" w:eastAsia="Times New Roman" w:hAnsi="Times New Roman" w:cs="Times New Roman"/>
          <w:sz w:val="24"/>
          <w:szCs w:val="24"/>
        </w:rPr>
        <w:t>Ti-PILC(s), pour les appliquer dans le domaine</w:t>
      </w:r>
      <w:r w:rsidRPr="00671F21">
        <w:rPr>
          <w:rFonts w:ascii="Times New Roman" w:eastAsia="Times New Roman" w:hAnsi="Times New Roman" w:cs="Times New Roman"/>
          <w:sz w:val="24"/>
          <w:szCs w:val="24"/>
        </w:rPr>
        <w:t xml:space="preserve"> de </w:t>
      </w:r>
      <w:r w:rsidRPr="00671F21">
        <w:rPr>
          <w:rFonts w:ascii="Times New Roman" w:eastAsia="Times New Roman" w:hAnsi="Times New Roman" w:cs="Times New Roman"/>
          <w:color w:val="000000"/>
          <w:sz w:val="24"/>
          <w:szCs w:val="24"/>
        </w:rPr>
        <w:t>l'époxydation catalytique des alcènes par les époxydes.</w:t>
      </w:r>
      <w:r w:rsidRPr="00671F21">
        <w:rPr>
          <w:rFonts w:ascii="Times New Roman" w:eastAsia="Times New Roman" w:hAnsi="Times New Roman" w:cs="Times New Roman"/>
          <w:sz w:val="24"/>
          <w:szCs w:val="24"/>
        </w:rPr>
        <w:t xml:space="preserve"> </w:t>
      </w:r>
      <w:r w:rsidRPr="00671F21">
        <w:rPr>
          <w:rFonts w:ascii="Times New Roman" w:eastAsia="Times New Roman" w:hAnsi="Times New Roman" w:cs="Times New Roman"/>
          <w:color w:val="000000"/>
          <w:sz w:val="24"/>
          <w:szCs w:val="24"/>
        </w:rPr>
        <w:t xml:space="preserve">Une grande attention a été accordée ces dernières années à l'époxydation catalytique des alcènes par divers oxydants tels que les peracides, les peroxydes organiques, le peroxyde d'hydrogène et l'oxygène moléculaire, qui sont des intermédiaires flexibles et des précurseurs à de nombreux produits chimiques utiles, tels que les médicaments, les produits chimiques pour l’agriculture, les additifs alimentaires, les produits de parfumerie et les édulcorants. L'époxydation du </w:t>
      </w:r>
      <w:r w:rsidR="0089364F" w:rsidRPr="00671F21">
        <w:rPr>
          <w:rFonts w:ascii="Times New Roman" w:eastAsia="Times New Roman" w:hAnsi="Times New Roman" w:cs="Times New Roman"/>
          <w:color w:val="000000"/>
          <w:sz w:val="24"/>
          <w:szCs w:val="24"/>
        </w:rPr>
        <w:t>cyclohéxène</w:t>
      </w:r>
      <w:r w:rsidRPr="00671F21">
        <w:rPr>
          <w:rFonts w:ascii="Times New Roman" w:eastAsia="Times New Roman" w:hAnsi="Times New Roman" w:cs="Times New Roman"/>
          <w:color w:val="000000"/>
          <w:sz w:val="24"/>
          <w:szCs w:val="24"/>
        </w:rPr>
        <w:t xml:space="preserve"> a été étudiée largement en utilisant à la fois, des catalyseurs homogènes et hétérogènes. Par rapport aux catalyseurs homogènes, les catalyseurs hétérogènes ont beaucoup d’avantages tels que leurs séparations et leurs récupérations faciles, à partir du mélange réactionnel pour leurs recyclages.</w:t>
      </w:r>
    </w:p>
    <w:p w:rsidR="00671F21" w:rsidRPr="00671F21" w:rsidRDefault="00671F21" w:rsidP="00075B77">
      <w:pPr>
        <w:spacing w:after="0" w:line="360" w:lineRule="auto"/>
        <w:ind w:firstLine="567"/>
        <w:jc w:val="both"/>
        <w:rPr>
          <w:rFonts w:ascii="Times New Roman" w:eastAsia="Times New Roman" w:hAnsi="Times New Roman" w:cs="Times New Roman"/>
          <w:sz w:val="24"/>
          <w:szCs w:val="24"/>
        </w:rPr>
      </w:pPr>
      <w:r w:rsidRPr="00671F21">
        <w:rPr>
          <w:rFonts w:ascii="Times New Roman" w:eastAsia="Times New Roman" w:hAnsi="Times New Roman" w:cs="Times New Roman"/>
          <w:sz w:val="24"/>
          <w:szCs w:val="24"/>
        </w:rPr>
        <w:t xml:space="preserve">Le plan de travail, </w:t>
      </w:r>
      <w:r w:rsidR="00075B77">
        <w:rPr>
          <w:rFonts w:ascii="Times New Roman" w:eastAsia="Times New Roman" w:hAnsi="Times New Roman" w:cs="Times New Roman"/>
          <w:sz w:val="24"/>
          <w:szCs w:val="24"/>
        </w:rPr>
        <w:t>que nous présentons</w:t>
      </w:r>
      <w:r w:rsidRPr="00671F21">
        <w:rPr>
          <w:rFonts w:ascii="Times New Roman" w:eastAsia="Times New Roman" w:hAnsi="Times New Roman" w:cs="Times New Roman"/>
          <w:sz w:val="24"/>
          <w:szCs w:val="24"/>
        </w:rPr>
        <w:t>, est comme suit :</w:t>
      </w:r>
    </w:p>
    <w:p w:rsidR="00671F21" w:rsidRPr="00671F21" w:rsidRDefault="00671F21" w:rsidP="00075B77">
      <w:pPr>
        <w:pStyle w:val="Paragraphedeliste"/>
        <w:numPr>
          <w:ilvl w:val="0"/>
          <w:numId w:val="1"/>
        </w:numPr>
        <w:spacing w:after="0" w:line="360" w:lineRule="auto"/>
        <w:textAlignment w:val="top"/>
        <w:rPr>
          <w:rFonts w:ascii="Times New Roman" w:eastAsia="Times New Roman" w:hAnsi="Times New Roman" w:cs="Times New Roman"/>
          <w:color w:val="000000"/>
          <w:sz w:val="24"/>
          <w:szCs w:val="24"/>
          <w:lang w:eastAsia="fr-FR"/>
        </w:rPr>
      </w:pPr>
      <w:r w:rsidRPr="00671F21">
        <w:rPr>
          <w:rFonts w:ascii="Times New Roman" w:eastAsia="Times New Roman" w:hAnsi="Times New Roman" w:cs="Times New Roman"/>
          <w:color w:val="000000"/>
          <w:sz w:val="24"/>
          <w:szCs w:val="24"/>
          <w:lang w:eastAsia="fr-FR"/>
        </w:rPr>
        <w:t xml:space="preserve">Dans </w:t>
      </w:r>
      <w:r w:rsidR="00075B77">
        <w:rPr>
          <w:rFonts w:ascii="Times New Roman" w:eastAsia="Times New Roman" w:hAnsi="Times New Roman" w:cs="Times New Roman"/>
          <w:color w:val="000000"/>
          <w:sz w:val="24"/>
          <w:szCs w:val="24"/>
          <w:lang w:eastAsia="fr-FR"/>
        </w:rPr>
        <w:t>le premier chapitre, nous expos</w:t>
      </w:r>
      <w:r w:rsidRPr="00671F21">
        <w:rPr>
          <w:rFonts w:ascii="Times New Roman" w:eastAsia="Times New Roman" w:hAnsi="Times New Roman" w:cs="Times New Roman"/>
          <w:color w:val="000000"/>
          <w:sz w:val="24"/>
          <w:szCs w:val="24"/>
          <w:lang w:eastAsia="fr-FR"/>
        </w:rPr>
        <w:t xml:space="preserve">ons une  étude bibliographique sur </w:t>
      </w:r>
      <w:r w:rsidR="00075B77">
        <w:rPr>
          <w:rFonts w:ascii="Times New Roman" w:eastAsia="Times New Roman" w:hAnsi="Times New Roman" w:cs="Times New Roman"/>
          <w:color w:val="000000"/>
          <w:sz w:val="24"/>
          <w:szCs w:val="24"/>
          <w:lang w:eastAsia="fr-FR"/>
        </w:rPr>
        <w:t>notre</w:t>
      </w:r>
      <w:r w:rsidRPr="00671F21">
        <w:rPr>
          <w:rFonts w:ascii="Times New Roman" w:eastAsia="Times New Roman" w:hAnsi="Times New Roman" w:cs="Times New Roman"/>
          <w:color w:val="000000"/>
          <w:sz w:val="24"/>
          <w:szCs w:val="24"/>
          <w:lang w:eastAsia="fr-FR"/>
        </w:rPr>
        <w:t xml:space="preserve"> sujet</w:t>
      </w:r>
    </w:p>
    <w:p w:rsidR="00671F21" w:rsidRPr="00671F21" w:rsidRDefault="00671F21" w:rsidP="00075B77">
      <w:pPr>
        <w:pStyle w:val="Paragraphedeliste"/>
        <w:numPr>
          <w:ilvl w:val="0"/>
          <w:numId w:val="1"/>
        </w:numPr>
        <w:spacing w:after="0" w:line="360" w:lineRule="auto"/>
        <w:textAlignment w:val="top"/>
        <w:rPr>
          <w:rFonts w:ascii="Times New Roman" w:hAnsi="Times New Roman" w:cs="Times New Roman"/>
          <w:sz w:val="24"/>
          <w:szCs w:val="24"/>
        </w:rPr>
      </w:pPr>
      <w:r w:rsidRPr="00671F21">
        <w:rPr>
          <w:rFonts w:ascii="Times New Roman" w:eastAsia="Times New Roman" w:hAnsi="Times New Roman" w:cs="Times New Roman"/>
          <w:color w:val="000000"/>
          <w:sz w:val="24"/>
          <w:szCs w:val="24"/>
          <w:lang w:eastAsia="fr-FR"/>
        </w:rPr>
        <w:t>Le second chapitre est consacré à la partie expérimentale </w:t>
      </w:r>
      <w:r w:rsidR="00075B77">
        <w:rPr>
          <w:rFonts w:ascii="Times New Roman" w:eastAsia="Times New Roman" w:hAnsi="Times New Roman" w:cs="Times New Roman"/>
          <w:color w:val="000000"/>
          <w:sz w:val="24"/>
          <w:szCs w:val="24"/>
          <w:lang w:eastAsia="fr-FR"/>
        </w:rPr>
        <w:t>sur les</w:t>
      </w:r>
      <w:r w:rsidRPr="00671F21">
        <w:rPr>
          <w:rFonts w:ascii="Times New Roman" w:eastAsia="Times New Roman" w:hAnsi="Times New Roman" w:cs="Times New Roman"/>
          <w:color w:val="000000"/>
          <w:sz w:val="24"/>
          <w:szCs w:val="24"/>
          <w:lang w:eastAsia="fr-FR"/>
        </w:rPr>
        <w:t xml:space="preserve"> </w:t>
      </w:r>
      <w:r w:rsidR="00075B77" w:rsidRPr="00671F21">
        <w:rPr>
          <w:rFonts w:ascii="Times New Roman" w:eastAsia="Times New Roman" w:hAnsi="Times New Roman" w:cs="Times New Roman"/>
          <w:color w:val="000000"/>
          <w:sz w:val="24"/>
          <w:szCs w:val="24"/>
          <w:lang w:eastAsia="fr-FR"/>
        </w:rPr>
        <w:t xml:space="preserve">techniques utilisées </w:t>
      </w:r>
      <w:r w:rsidR="00075B77">
        <w:rPr>
          <w:rFonts w:ascii="Times New Roman" w:eastAsia="Times New Roman" w:hAnsi="Times New Roman" w:cs="Times New Roman"/>
          <w:color w:val="000000"/>
          <w:sz w:val="24"/>
          <w:szCs w:val="24"/>
          <w:lang w:eastAsia="fr-FR"/>
        </w:rPr>
        <w:t xml:space="preserve">pour la </w:t>
      </w:r>
      <w:r w:rsidRPr="00671F21">
        <w:rPr>
          <w:rFonts w:ascii="Times New Roman" w:eastAsia="Times New Roman" w:hAnsi="Times New Roman" w:cs="Times New Roman"/>
          <w:color w:val="000000"/>
          <w:sz w:val="24"/>
          <w:szCs w:val="24"/>
          <w:lang w:eastAsia="fr-FR"/>
        </w:rPr>
        <w:t>purification de la bentonite</w:t>
      </w:r>
      <w:r w:rsidR="00075B77">
        <w:rPr>
          <w:rFonts w:ascii="Times New Roman" w:eastAsia="Times New Roman" w:hAnsi="Times New Roman" w:cs="Times New Roman"/>
          <w:color w:val="000000"/>
          <w:sz w:val="24"/>
          <w:szCs w:val="24"/>
          <w:lang w:eastAsia="fr-FR"/>
        </w:rPr>
        <w:t xml:space="preserve"> et la </w:t>
      </w:r>
      <w:r w:rsidRPr="00671F21">
        <w:rPr>
          <w:rFonts w:ascii="Times New Roman" w:eastAsia="Times New Roman" w:hAnsi="Times New Roman" w:cs="Times New Roman"/>
          <w:color w:val="000000"/>
          <w:sz w:val="24"/>
          <w:szCs w:val="24"/>
          <w:lang w:eastAsia="fr-FR"/>
        </w:rPr>
        <w:t>préparation des catalyseurs,.</w:t>
      </w:r>
    </w:p>
    <w:p w:rsidR="00671F21" w:rsidRPr="00671F21" w:rsidRDefault="00671F21" w:rsidP="00671F21">
      <w:pPr>
        <w:pStyle w:val="Paragraphedeliste"/>
        <w:numPr>
          <w:ilvl w:val="0"/>
          <w:numId w:val="1"/>
        </w:numPr>
        <w:spacing w:after="0" w:line="360" w:lineRule="auto"/>
        <w:textAlignment w:val="top"/>
        <w:rPr>
          <w:rFonts w:ascii="Times New Roman" w:hAnsi="Times New Roman" w:cs="Times New Roman"/>
          <w:sz w:val="24"/>
          <w:szCs w:val="24"/>
        </w:rPr>
      </w:pPr>
      <w:r w:rsidRPr="00671F21">
        <w:rPr>
          <w:rFonts w:ascii="Times New Roman" w:eastAsia="Times New Roman" w:hAnsi="Times New Roman" w:cs="Times New Roman"/>
          <w:color w:val="000000"/>
          <w:sz w:val="24"/>
          <w:szCs w:val="24"/>
          <w:lang w:eastAsia="fr-FR"/>
        </w:rPr>
        <w:t>Les principaux résultats et leurs interprétations sont présentés dans le chapitre III.</w:t>
      </w:r>
    </w:p>
    <w:p w:rsidR="00671F21" w:rsidRPr="00671F21" w:rsidRDefault="00075B77" w:rsidP="00075B77">
      <w:pPr>
        <w:pStyle w:val="Paragraphedeliste"/>
        <w:numPr>
          <w:ilvl w:val="0"/>
          <w:numId w:val="1"/>
        </w:numPr>
        <w:spacing w:after="0" w:line="360" w:lineRule="auto"/>
        <w:textAlignment w:val="top"/>
        <w:rPr>
          <w:rFonts w:ascii="Times New Roman" w:hAnsi="Times New Roman" w:cs="Times New Roman"/>
          <w:sz w:val="24"/>
          <w:szCs w:val="24"/>
        </w:rPr>
      </w:pPr>
      <w:r>
        <w:rPr>
          <w:rFonts w:ascii="Times New Roman" w:eastAsia="Times New Roman" w:hAnsi="Times New Roman" w:cs="Times New Roman"/>
          <w:color w:val="000000"/>
          <w:sz w:val="24"/>
          <w:szCs w:val="24"/>
          <w:lang w:eastAsia="fr-FR"/>
        </w:rPr>
        <w:t>E</w:t>
      </w:r>
      <w:r w:rsidR="00671F21" w:rsidRPr="00671F21">
        <w:rPr>
          <w:rFonts w:ascii="Times New Roman" w:eastAsia="Times New Roman" w:hAnsi="Times New Roman" w:cs="Times New Roman"/>
          <w:color w:val="000000"/>
          <w:sz w:val="24"/>
          <w:szCs w:val="24"/>
          <w:lang w:eastAsia="fr-FR"/>
        </w:rPr>
        <w:t xml:space="preserve">nfin, </w:t>
      </w:r>
      <w:r>
        <w:rPr>
          <w:rFonts w:ascii="Times New Roman" w:eastAsia="Times New Roman" w:hAnsi="Times New Roman" w:cs="Times New Roman"/>
          <w:color w:val="000000"/>
          <w:sz w:val="24"/>
          <w:szCs w:val="24"/>
          <w:lang w:eastAsia="fr-FR"/>
        </w:rPr>
        <w:t>la</w:t>
      </w:r>
      <w:r w:rsidR="00671F21" w:rsidRPr="00671F21">
        <w:rPr>
          <w:rFonts w:ascii="Times New Roman" w:eastAsia="Times New Roman" w:hAnsi="Times New Roman" w:cs="Times New Roman"/>
          <w:color w:val="000000"/>
          <w:sz w:val="24"/>
          <w:szCs w:val="24"/>
          <w:lang w:eastAsia="fr-FR"/>
        </w:rPr>
        <w:t xml:space="preserve"> conclusion générale </w:t>
      </w:r>
      <w:r>
        <w:rPr>
          <w:rFonts w:ascii="Times New Roman" w:eastAsia="Times New Roman" w:hAnsi="Times New Roman" w:cs="Times New Roman"/>
          <w:color w:val="000000"/>
          <w:sz w:val="24"/>
          <w:szCs w:val="24"/>
          <w:lang w:eastAsia="fr-FR"/>
        </w:rPr>
        <w:t>synthétisé</w:t>
      </w:r>
      <w:r w:rsidR="00671F21" w:rsidRPr="00671F21">
        <w:rPr>
          <w:rFonts w:ascii="Times New Roman" w:eastAsia="Times New Roman" w:hAnsi="Times New Roman" w:cs="Times New Roman"/>
          <w:color w:val="000000"/>
          <w:sz w:val="24"/>
          <w:szCs w:val="24"/>
          <w:lang w:eastAsia="fr-FR"/>
        </w:rPr>
        <w:t xml:space="preserve"> </w:t>
      </w:r>
      <w:r>
        <w:rPr>
          <w:rFonts w:ascii="Times New Roman" w:eastAsia="Times New Roman" w:hAnsi="Times New Roman" w:cs="Times New Roman"/>
          <w:color w:val="000000"/>
          <w:sz w:val="24"/>
          <w:szCs w:val="24"/>
          <w:lang w:eastAsia="fr-FR"/>
        </w:rPr>
        <w:t>l</w:t>
      </w:r>
      <w:r w:rsidR="00671F21" w:rsidRPr="00671F21">
        <w:rPr>
          <w:rFonts w:ascii="Times New Roman" w:eastAsia="Times New Roman" w:hAnsi="Times New Roman" w:cs="Times New Roman"/>
          <w:color w:val="000000"/>
          <w:sz w:val="24"/>
          <w:szCs w:val="24"/>
          <w:lang w:eastAsia="fr-FR"/>
        </w:rPr>
        <w:t>es résultats obtenus</w:t>
      </w:r>
      <w:r>
        <w:rPr>
          <w:rFonts w:ascii="Times New Roman" w:eastAsia="Times New Roman" w:hAnsi="Times New Roman" w:cs="Times New Roman"/>
          <w:color w:val="000000"/>
          <w:sz w:val="24"/>
          <w:szCs w:val="24"/>
          <w:lang w:eastAsia="fr-FR"/>
        </w:rPr>
        <w:t xml:space="preserve"> et les perspectives.</w:t>
      </w:r>
    </w:p>
    <w:p w:rsidR="00AA5902" w:rsidRDefault="00AA5902"/>
    <w:sectPr w:rsidR="00AA5902" w:rsidSect="00E27820">
      <w:headerReference w:type="default" r:id="rId7"/>
      <w:footerReference w:type="default" r:id="rId8"/>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7320" w:rsidRDefault="00907320" w:rsidP="00671F21">
      <w:pPr>
        <w:spacing w:after="0" w:line="240" w:lineRule="auto"/>
      </w:pPr>
      <w:r>
        <w:separator/>
      </w:r>
    </w:p>
  </w:endnote>
  <w:endnote w:type="continuationSeparator" w:id="1">
    <w:p w:rsidR="00907320" w:rsidRDefault="00907320" w:rsidP="00671F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83422"/>
      <w:docPartObj>
        <w:docPartGallery w:val="Page Numbers (Bottom of Page)"/>
        <w:docPartUnique/>
      </w:docPartObj>
    </w:sdtPr>
    <w:sdtContent>
      <w:p w:rsidR="001D4E2A" w:rsidRDefault="00C46CDE">
        <w:pPr>
          <w:pStyle w:val="Pieddepage"/>
          <w:jc w:val="center"/>
        </w:pPr>
        <w:r>
          <w:pict>
            <v:shapetype id="_x0000_t110" coordsize="21600,21600" o:spt="110" path="m10800,l,10800,10800,21600,21600,10800xe">
              <v:stroke joinstyle="miter"/>
              <v:path gradientshapeok="t" o:connecttype="rect" textboxrect="5400,5400,16200,16200"/>
            </v:shapetype>
            <v:shape id="_x0000_s4097" type="#_x0000_t110" style="width:468pt;height:3.55pt;flip:y;mso-width-percent:1000;mso-position-horizontal-relative:char;mso-position-vertical-relative:line;mso-width-percent:1000;mso-width-relative:margin" fillcolor="black [3213]" stroked="f" strokecolor="black [3213]">
              <v:fill r:id="rId1" o:title="Light horizontal" type="pattern"/>
              <w10:wrap type="none" anchorx="margin" anchory="page"/>
              <w10:anchorlock/>
            </v:shape>
          </w:pict>
        </w:r>
      </w:p>
      <w:p w:rsidR="001D4E2A" w:rsidRDefault="008B0885">
        <w:pPr>
          <w:pStyle w:val="Pieddepage"/>
          <w:jc w:val="center"/>
        </w:pPr>
        <w:fldSimple w:instr=" PAGE    \* MERGEFORMAT ">
          <w:r w:rsidR="00C46CDE">
            <w:rPr>
              <w:noProof/>
            </w:rPr>
            <w:t>1</w:t>
          </w:r>
        </w:fldSimple>
      </w:p>
    </w:sdtContent>
  </w:sdt>
  <w:p w:rsidR="00CA0FBE" w:rsidRDefault="00CA0FB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7320" w:rsidRDefault="00907320" w:rsidP="00671F21">
      <w:pPr>
        <w:spacing w:after="0" w:line="240" w:lineRule="auto"/>
      </w:pPr>
      <w:r>
        <w:separator/>
      </w:r>
    </w:p>
  </w:footnote>
  <w:footnote w:type="continuationSeparator" w:id="1">
    <w:p w:rsidR="00907320" w:rsidRDefault="00907320" w:rsidP="00671F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b/>
        <w:bCs/>
        <w:i/>
        <w:iCs/>
        <w:sz w:val="32"/>
        <w:szCs w:val="32"/>
      </w:rPr>
      <w:alias w:val="Titre"/>
      <w:id w:val="77738743"/>
      <w:placeholder>
        <w:docPart w:val="7A51F4AF39854027BD7F15724CC1BC7D"/>
      </w:placeholder>
      <w:dataBinding w:prefixMappings="xmlns:ns0='http://schemas.openxmlformats.org/package/2006/metadata/core-properties' xmlns:ns1='http://purl.org/dc/elements/1.1/'" w:xpath="/ns0:coreProperties[1]/ns1:title[1]" w:storeItemID="{6C3C8BC8-F283-45AE-878A-BAB7291924A1}"/>
      <w:text/>
    </w:sdtPr>
    <w:sdtContent>
      <w:p w:rsidR="00671F21" w:rsidRDefault="00671F21" w:rsidP="00671F21">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CA0FBE">
          <w:rPr>
            <w:rFonts w:ascii="Times New Roman" w:eastAsiaTheme="majorEastAsia" w:hAnsi="Times New Roman" w:cs="Times New Roman"/>
            <w:b/>
            <w:bCs/>
            <w:i/>
            <w:iCs/>
            <w:sz w:val="32"/>
            <w:szCs w:val="32"/>
          </w:rPr>
          <w:t xml:space="preserve">Introduction générale </w:t>
        </w:r>
      </w:p>
    </w:sdtContent>
  </w:sdt>
  <w:p w:rsidR="00671F21" w:rsidRDefault="00671F21">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2F289D"/>
    <w:multiLevelType w:val="hybridMultilevel"/>
    <w:tmpl w:val="80F6BEE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hyphenationZone w:val="425"/>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seFELayout/>
  </w:compat>
  <w:rsids>
    <w:rsidRoot w:val="00671F21"/>
    <w:rsid w:val="00075B77"/>
    <w:rsid w:val="001D4E2A"/>
    <w:rsid w:val="003F5F7A"/>
    <w:rsid w:val="004D1C87"/>
    <w:rsid w:val="00602F58"/>
    <w:rsid w:val="00671F21"/>
    <w:rsid w:val="007E06B6"/>
    <w:rsid w:val="0089364F"/>
    <w:rsid w:val="008B0885"/>
    <w:rsid w:val="008D2F96"/>
    <w:rsid w:val="00907320"/>
    <w:rsid w:val="00AA5902"/>
    <w:rsid w:val="00B87379"/>
    <w:rsid w:val="00BB2DE5"/>
    <w:rsid w:val="00C056C9"/>
    <w:rsid w:val="00C46CDE"/>
    <w:rsid w:val="00CA0FBE"/>
    <w:rsid w:val="00E2782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F7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71F21"/>
    <w:pPr>
      <w:ind w:left="720"/>
      <w:contextualSpacing/>
      <w:jc w:val="both"/>
    </w:pPr>
    <w:rPr>
      <w:rFonts w:eastAsiaTheme="minorHAnsi"/>
      <w:lang w:eastAsia="en-US"/>
    </w:rPr>
  </w:style>
  <w:style w:type="paragraph" w:styleId="En-tte">
    <w:name w:val="header"/>
    <w:basedOn w:val="Normal"/>
    <w:link w:val="En-tteCar"/>
    <w:uiPriority w:val="99"/>
    <w:unhideWhenUsed/>
    <w:rsid w:val="00671F21"/>
    <w:pPr>
      <w:tabs>
        <w:tab w:val="center" w:pos="4536"/>
        <w:tab w:val="right" w:pos="9072"/>
      </w:tabs>
      <w:spacing w:after="0" w:line="240" w:lineRule="auto"/>
    </w:pPr>
  </w:style>
  <w:style w:type="character" w:customStyle="1" w:styleId="En-tteCar">
    <w:name w:val="En-tête Car"/>
    <w:basedOn w:val="Policepardfaut"/>
    <w:link w:val="En-tte"/>
    <w:uiPriority w:val="99"/>
    <w:rsid w:val="00671F21"/>
  </w:style>
  <w:style w:type="paragraph" w:styleId="Pieddepage">
    <w:name w:val="footer"/>
    <w:basedOn w:val="Normal"/>
    <w:link w:val="PieddepageCar"/>
    <w:uiPriority w:val="99"/>
    <w:unhideWhenUsed/>
    <w:rsid w:val="00671F2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71F21"/>
  </w:style>
  <w:style w:type="paragraph" w:styleId="Textedebulles">
    <w:name w:val="Balloon Text"/>
    <w:basedOn w:val="Normal"/>
    <w:link w:val="TextedebullesCar"/>
    <w:uiPriority w:val="99"/>
    <w:semiHidden/>
    <w:unhideWhenUsed/>
    <w:rsid w:val="00671F2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71F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A51F4AF39854027BD7F15724CC1BC7D"/>
        <w:category>
          <w:name w:val="Général"/>
          <w:gallery w:val="placeholder"/>
        </w:category>
        <w:types>
          <w:type w:val="bbPlcHdr"/>
        </w:types>
        <w:behaviors>
          <w:behavior w:val="content"/>
        </w:behaviors>
        <w:guid w:val="{BB32E992-E6BA-4608-9083-CCD62F5F7825}"/>
      </w:docPartPr>
      <w:docPartBody>
        <w:p w:rsidR="004E6B9A" w:rsidRDefault="000C4515" w:rsidP="000C4515">
          <w:pPr>
            <w:pStyle w:val="7A51F4AF39854027BD7F15724CC1BC7D"/>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0C4515"/>
    <w:rsid w:val="000C4515"/>
    <w:rsid w:val="00357E41"/>
    <w:rsid w:val="00410397"/>
    <w:rsid w:val="004E6B9A"/>
    <w:rsid w:val="00527AFD"/>
    <w:rsid w:val="00C475A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B9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7A51F4AF39854027BD7F15724CC1BC7D">
    <w:name w:val="7A51F4AF39854027BD7F15724CC1BC7D"/>
    <w:rsid w:val="000C451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418</Words>
  <Characters>2305</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Introduction générale </vt:lpstr>
    </vt:vector>
  </TitlesOfParts>
  <Company>HD</Company>
  <LinksUpToDate>false</LinksUpToDate>
  <CharactersWithSpaces>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générale </dc:title>
  <dc:subject/>
  <dc:creator>Ghost</dc:creator>
  <cp:keywords/>
  <dc:description/>
  <cp:lastModifiedBy>Ghost</cp:lastModifiedBy>
  <cp:revision>9</cp:revision>
  <dcterms:created xsi:type="dcterms:W3CDTF">2011-06-22T18:30:00Z</dcterms:created>
  <dcterms:modified xsi:type="dcterms:W3CDTF">2011-07-05T12:27:00Z</dcterms:modified>
</cp:coreProperties>
</file>