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text" w:horzAnchor="margin" w:tblpXSpec="center" w:tblpY="400"/>
        <w:tblW w:w="10740" w:type="dxa"/>
        <w:tblLayout w:type="fixed"/>
        <w:tblLook w:val="04A0"/>
      </w:tblPr>
      <w:tblGrid>
        <w:gridCol w:w="2269"/>
        <w:gridCol w:w="992"/>
        <w:gridCol w:w="1418"/>
        <w:gridCol w:w="885"/>
        <w:gridCol w:w="1950"/>
        <w:gridCol w:w="1525"/>
        <w:gridCol w:w="850"/>
        <w:gridCol w:w="851"/>
      </w:tblGrid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Nom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 (g/mol)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Densité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Pureté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Fournisseur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Toxicité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P.E</w:t>
            </w:r>
          </w:p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(°C)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P.F (°C)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Cyclohéxène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82,15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0,811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99%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Aldrich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Inflammable</w:t>
            </w:r>
          </w:p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nocif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82,9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-103,5</w:t>
            </w:r>
          </w:p>
        </w:tc>
      </w:tr>
      <w:tr w:rsidR="009C71E6" w:rsidRPr="009C71E6" w:rsidTr="009C71E6">
        <w:trPr>
          <w:trHeight w:val="568"/>
        </w:trPr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Heptane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100,21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0,684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99%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Fluka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Inflammable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97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n-Pentanol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88,15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0,813-0,816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Biochem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Inflammable</w:t>
            </w:r>
          </w:p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nocif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136,5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Tertio-Butyl Hydroperoxyde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90,12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Aldrich Chemistry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Inflammable</w:t>
            </w:r>
          </w:p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Corrosif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96,2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Tri-Phényl phosphine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262,29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Sigma-Aldrich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nocif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79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Iodure de Potassium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166,00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Biochem-Chemopharma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Thiosulfate de sodium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248,17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Rectapur-Prolabo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48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Acide sulfurique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98,08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95-97%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Fluka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Corrsif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Cyclohexanol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100,16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Biochem-Chemepharma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nocif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25,4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Cyclohexanone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98,15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0,947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Prolabo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Inflammable</w:t>
            </w:r>
          </w:p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nocif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-31</w:t>
            </w:r>
          </w:p>
        </w:tc>
      </w:tr>
      <w:tr w:rsidR="009C71E6" w:rsidRPr="009C71E6" w:rsidTr="009C71E6">
        <w:trPr>
          <w:trHeight w:val="689"/>
        </w:trPr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Cyclohexénol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98,15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0,984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95%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Aldrich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Toxique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Cyclohexénone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96,13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Aldrich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Toxique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-53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Epoxyde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98,15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0,971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Fluka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corrosif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cyclohexen-diol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116,16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Aldrich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Ethanol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47,07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0,778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99,9%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Sigma-Aldrich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Inflammable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Acide Chlorhydrique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36,46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1,16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37%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Biochem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Corrosif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</w:t>
            </w:r>
          </w:p>
        </w:tc>
      </w:tr>
      <w:tr w:rsidR="009C71E6" w:rsidRPr="009C71E6" w:rsidTr="009C71E6">
        <w:tc>
          <w:tcPr>
            <w:tcW w:w="2269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sz w:val="24"/>
                <w:szCs w:val="24"/>
              </w:rPr>
              <w:t>Métavanadate d’ammonium</w:t>
            </w:r>
          </w:p>
        </w:tc>
        <w:tc>
          <w:tcPr>
            <w:tcW w:w="992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sz w:val="24"/>
                <w:szCs w:val="24"/>
              </w:rPr>
              <w:t>116,98</w:t>
            </w:r>
          </w:p>
        </w:tc>
        <w:tc>
          <w:tcPr>
            <w:tcW w:w="1418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/</w:t>
            </w:r>
          </w:p>
        </w:tc>
        <w:tc>
          <w:tcPr>
            <w:tcW w:w="88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9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sz w:val="24"/>
                <w:szCs w:val="24"/>
              </w:rPr>
              <w:t>Sterem-chemicals</w:t>
            </w:r>
          </w:p>
        </w:tc>
        <w:tc>
          <w:tcPr>
            <w:tcW w:w="1525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sz w:val="24"/>
                <w:szCs w:val="24"/>
              </w:rPr>
              <w:t xml:space="preserve">Toxique </w:t>
            </w:r>
          </w:p>
        </w:tc>
        <w:tc>
          <w:tcPr>
            <w:tcW w:w="850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/</w:t>
            </w:r>
          </w:p>
        </w:tc>
        <w:tc>
          <w:tcPr>
            <w:tcW w:w="851" w:type="dxa"/>
            <w:vAlign w:val="center"/>
          </w:tcPr>
          <w:p w:rsidR="009C71E6" w:rsidRPr="009C71E6" w:rsidRDefault="009C71E6" w:rsidP="009C71E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9C71E6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/</w:t>
            </w:r>
          </w:p>
        </w:tc>
      </w:tr>
    </w:tbl>
    <w:p w:rsidR="009C71E6" w:rsidRDefault="009C71E6" w:rsidP="009C71E6">
      <w:pPr>
        <w:ind w:firstLine="708"/>
      </w:pPr>
    </w:p>
    <w:p w:rsidR="009C71E6" w:rsidRPr="009C71E6" w:rsidRDefault="009C71E6" w:rsidP="009C71E6">
      <w:pPr>
        <w:tabs>
          <w:tab w:val="left" w:pos="1290"/>
        </w:tabs>
      </w:pPr>
    </w:p>
    <w:sectPr w:rsidR="009C71E6" w:rsidRPr="009C71E6" w:rsidSect="002B07B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4AB" w:rsidRDefault="00CC14AB" w:rsidP="009C71E6">
      <w:pPr>
        <w:spacing w:after="0" w:line="240" w:lineRule="auto"/>
      </w:pPr>
      <w:r>
        <w:separator/>
      </w:r>
    </w:p>
  </w:endnote>
  <w:endnote w:type="continuationSeparator" w:id="1">
    <w:p w:rsidR="00CC14AB" w:rsidRDefault="00CC14AB" w:rsidP="009C7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4AB" w:rsidRDefault="00CC14AB" w:rsidP="009C71E6">
      <w:pPr>
        <w:spacing w:after="0" w:line="240" w:lineRule="auto"/>
      </w:pPr>
      <w:r>
        <w:separator/>
      </w:r>
    </w:p>
  </w:footnote>
  <w:footnote w:type="continuationSeparator" w:id="1">
    <w:p w:rsidR="00CC14AB" w:rsidRDefault="00CC14AB" w:rsidP="009C7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Bidi" w:eastAsiaTheme="majorEastAsia" w:hAnsiTheme="majorBidi" w:cstheme="majorBidi"/>
        <w:b/>
        <w:bCs/>
        <w:i/>
        <w:iCs/>
        <w:sz w:val="32"/>
        <w:szCs w:val="32"/>
      </w:rPr>
      <w:alias w:val="Titre"/>
      <w:id w:val="77738743"/>
      <w:placeholder>
        <w:docPart w:val="295DECC729D44C1F8F92CF6B10EB085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C71E6" w:rsidRDefault="009C71E6" w:rsidP="009C71E6">
        <w:pPr>
          <w:pStyle w:val="En-tte"/>
          <w:pBdr>
            <w:bottom w:val="thickThinSmallGap" w:sz="24" w:space="2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6E6AD3">
          <w:rPr>
            <w:rFonts w:asciiTheme="majorBidi" w:eastAsiaTheme="majorEastAsia" w:hAnsiTheme="majorBidi" w:cstheme="majorBidi"/>
            <w:b/>
            <w:bCs/>
            <w:i/>
            <w:iCs/>
            <w:sz w:val="32"/>
            <w:szCs w:val="32"/>
          </w:rPr>
          <w:t xml:space="preserve">       Tableau des réactifs et des produits                </w:t>
        </w:r>
      </w:p>
    </w:sdtContent>
  </w:sdt>
  <w:p w:rsidR="009C71E6" w:rsidRDefault="009C71E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71E6"/>
    <w:rsid w:val="002B07BF"/>
    <w:rsid w:val="00541007"/>
    <w:rsid w:val="006E6AD3"/>
    <w:rsid w:val="009C71E6"/>
    <w:rsid w:val="00CC14AB"/>
    <w:rsid w:val="00ED6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C71E6"/>
    <w:pPr>
      <w:spacing w:after="0" w:line="240" w:lineRule="auto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9C7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71E6"/>
  </w:style>
  <w:style w:type="paragraph" w:styleId="Pieddepage">
    <w:name w:val="footer"/>
    <w:basedOn w:val="Normal"/>
    <w:link w:val="PieddepageCar"/>
    <w:uiPriority w:val="99"/>
    <w:semiHidden/>
    <w:unhideWhenUsed/>
    <w:rsid w:val="009C7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C71E6"/>
  </w:style>
  <w:style w:type="paragraph" w:styleId="Textedebulles">
    <w:name w:val="Balloon Text"/>
    <w:basedOn w:val="Normal"/>
    <w:link w:val="TextedebullesCar"/>
    <w:uiPriority w:val="99"/>
    <w:semiHidden/>
    <w:unhideWhenUsed/>
    <w:rsid w:val="009C7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71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95DECC729D44C1F8F92CF6B10EB08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2BAB9D-6A06-47D7-B0A9-5656D9F4D50F}"/>
      </w:docPartPr>
      <w:docPartBody>
        <w:p w:rsidR="00D4696B" w:rsidRDefault="00E87AA0" w:rsidP="00E87AA0">
          <w:pPr>
            <w:pStyle w:val="295DECC729D44C1F8F92CF6B10EB085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87AA0"/>
    <w:rsid w:val="005A5BE5"/>
    <w:rsid w:val="00D4696B"/>
    <w:rsid w:val="00E87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96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95DECC729D44C1F8F92CF6B10EB0856">
    <w:name w:val="295DECC729D44C1F8F92CF6B10EB0856"/>
    <w:rsid w:val="00E87AA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HD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Tableau des réactifs et des produits                </dc:title>
  <dc:subject/>
  <dc:creator>Ghost</dc:creator>
  <cp:keywords/>
  <dc:description/>
  <cp:lastModifiedBy>Ghost</cp:lastModifiedBy>
  <cp:revision>3</cp:revision>
  <dcterms:created xsi:type="dcterms:W3CDTF">2011-06-16T10:37:00Z</dcterms:created>
  <dcterms:modified xsi:type="dcterms:W3CDTF">2011-06-25T08:42:00Z</dcterms:modified>
</cp:coreProperties>
</file>