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CD9" w:rsidRPr="00817932" w:rsidRDefault="004C6CD9" w:rsidP="00C8012E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17932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CONCLUSION GENERALE</w:t>
      </w:r>
    </w:p>
    <w:p w:rsidR="00C8012E" w:rsidRDefault="004C6CD9" w:rsidP="004C6CD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012E" w:rsidRPr="00C8012E">
        <w:rPr>
          <w:rFonts w:ascii="Times New Roman" w:hAnsi="Times New Roman" w:cs="Times New Roman"/>
          <w:sz w:val="24"/>
          <w:szCs w:val="24"/>
        </w:rPr>
        <w:t xml:space="preserve">Dans cette </w:t>
      </w:r>
      <w:r w:rsidRPr="00C8012E">
        <w:rPr>
          <w:rFonts w:ascii="Times New Roman" w:hAnsi="Times New Roman" w:cs="Times New Roman"/>
          <w:sz w:val="24"/>
          <w:szCs w:val="24"/>
        </w:rPr>
        <w:t>étude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8012E" w:rsidRPr="00C8012E">
        <w:rPr>
          <w:rFonts w:ascii="Times New Roman" w:hAnsi="Times New Roman" w:cs="Times New Roman"/>
          <w:sz w:val="24"/>
          <w:szCs w:val="24"/>
        </w:rPr>
        <w:t>nous avons formulé quatre matériaux catalytiques à base de la bentonite de Maghnia.</w:t>
      </w:r>
      <w:r w:rsidR="00C8012E">
        <w:rPr>
          <w:rFonts w:ascii="Times New Roman" w:hAnsi="Times New Roman" w:cs="Times New Roman"/>
          <w:sz w:val="24"/>
          <w:szCs w:val="24"/>
        </w:rPr>
        <w:t xml:space="preserve"> Ces matériaux préparés sont caractérisés par </w:t>
      </w:r>
      <w:r>
        <w:rPr>
          <w:rFonts w:ascii="Times New Roman" w:hAnsi="Times New Roman" w:cs="Times New Roman"/>
          <w:sz w:val="24"/>
          <w:szCs w:val="24"/>
        </w:rPr>
        <w:t xml:space="preserve"> spectroscopie </w:t>
      </w:r>
      <w:r w:rsidR="00C8012E">
        <w:rPr>
          <w:rFonts w:ascii="Times New Roman" w:hAnsi="Times New Roman" w:cs="Times New Roman"/>
          <w:sz w:val="24"/>
          <w:szCs w:val="24"/>
        </w:rPr>
        <w:t xml:space="preserve">IRTF, </w:t>
      </w:r>
      <w:r>
        <w:rPr>
          <w:rFonts w:ascii="Times New Roman" w:hAnsi="Times New Roman" w:cs="Times New Roman"/>
          <w:sz w:val="24"/>
          <w:szCs w:val="24"/>
        </w:rPr>
        <w:t xml:space="preserve">UV-Vis  et microscopie  MEB. </w:t>
      </w:r>
    </w:p>
    <w:p w:rsidR="00C8012E" w:rsidRDefault="004C6CD9" w:rsidP="0049404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L’analyse </w:t>
      </w:r>
      <w:r w:rsidR="00C8012E">
        <w:rPr>
          <w:rFonts w:ascii="Times New Roman" w:hAnsi="Times New Roman" w:cs="Times New Roman"/>
          <w:sz w:val="24"/>
          <w:szCs w:val="24"/>
        </w:rPr>
        <w:t>IRTF montre des bandes caractéristiques de déformation et d’élongation des liaisons V-O-V et V-O et de</w:t>
      </w:r>
      <w:r>
        <w:rPr>
          <w:rFonts w:ascii="Times New Roman" w:hAnsi="Times New Roman" w:cs="Times New Roman"/>
          <w:sz w:val="24"/>
          <w:szCs w:val="24"/>
        </w:rPr>
        <w:t>s</w:t>
      </w:r>
      <w:r w:rsidR="00C8012E">
        <w:rPr>
          <w:rFonts w:ascii="Times New Roman" w:hAnsi="Times New Roman" w:cs="Times New Roman"/>
          <w:sz w:val="24"/>
          <w:szCs w:val="24"/>
        </w:rPr>
        <w:t xml:space="preserve"> liaison</w:t>
      </w:r>
      <w:r>
        <w:rPr>
          <w:rFonts w:ascii="Times New Roman" w:hAnsi="Times New Roman" w:cs="Times New Roman"/>
          <w:sz w:val="24"/>
          <w:szCs w:val="24"/>
        </w:rPr>
        <w:t>s</w:t>
      </w:r>
      <w:r w:rsidR="00C8012E">
        <w:rPr>
          <w:rFonts w:ascii="Times New Roman" w:hAnsi="Times New Roman" w:cs="Times New Roman"/>
          <w:sz w:val="24"/>
          <w:szCs w:val="24"/>
        </w:rPr>
        <w:t xml:space="preserve"> O-H </w:t>
      </w:r>
      <w:r>
        <w:rPr>
          <w:rFonts w:ascii="Times New Roman" w:hAnsi="Times New Roman" w:cs="Times New Roman"/>
          <w:sz w:val="24"/>
          <w:szCs w:val="24"/>
        </w:rPr>
        <w:t xml:space="preserve">de l’eau qui se trouve </w:t>
      </w:r>
      <w:r w:rsidR="00C8012E">
        <w:rPr>
          <w:rFonts w:ascii="Times New Roman" w:hAnsi="Times New Roman" w:cs="Times New Roman"/>
          <w:sz w:val="24"/>
          <w:szCs w:val="24"/>
        </w:rPr>
        <w:t xml:space="preserve"> dans l’espace interfeuillets.</w:t>
      </w:r>
    </w:p>
    <w:p w:rsidR="00C8012E" w:rsidRDefault="00C8012E" w:rsidP="004C6CD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L’analyse par UV-Vis. à réflexion diffuse du Ti-PILC montre deux pics autour de 260</w:t>
      </w:r>
      <w:r w:rsidR="004C6CD9">
        <w:rPr>
          <w:rFonts w:ascii="Times New Roman" w:hAnsi="Times New Roman" w:cs="Times New Roman"/>
          <w:sz w:val="24"/>
          <w:szCs w:val="24"/>
        </w:rPr>
        <w:t xml:space="preserve"> nm</w:t>
      </w:r>
      <w:r>
        <w:rPr>
          <w:rFonts w:ascii="Times New Roman" w:hAnsi="Times New Roman" w:cs="Times New Roman"/>
          <w:sz w:val="24"/>
          <w:szCs w:val="24"/>
        </w:rPr>
        <w:t xml:space="preserve"> et 310 nm qui peuvent être attribués aux espèces Ti octaédrique isolées et à la form</w:t>
      </w:r>
      <w:r w:rsidR="004C6CD9">
        <w:rPr>
          <w:rFonts w:ascii="Times New Roman" w:hAnsi="Times New Roman" w:cs="Times New Roman"/>
          <w:sz w:val="24"/>
          <w:szCs w:val="24"/>
        </w:rPr>
        <w:t>e cristal « anatase ». L</w:t>
      </w:r>
      <w:r>
        <w:rPr>
          <w:rFonts w:ascii="Times New Roman" w:hAnsi="Times New Roman" w:cs="Times New Roman"/>
          <w:sz w:val="24"/>
          <w:szCs w:val="24"/>
        </w:rPr>
        <w:t>es spectres correspondant</w:t>
      </w:r>
      <w:r w:rsidR="004C6CD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au 5%V/Ti-PILC</w:t>
      </w:r>
      <w:r w:rsidR="00817932">
        <w:rPr>
          <w:rFonts w:ascii="Times New Roman" w:hAnsi="Times New Roman" w:cs="Times New Roman"/>
          <w:sz w:val="24"/>
          <w:szCs w:val="24"/>
        </w:rPr>
        <w:t>(s)</w:t>
      </w:r>
      <w:r>
        <w:rPr>
          <w:rFonts w:ascii="Times New Roman" w:hAnsi="Times New Roman" w:cs="Times New Roman"/>
          <w:sz w:val="24"/>
          <w:szCs w:val="24"/>
        </w:rPr>
        <w:t xml:space="preserve"> montre</w:t>
      </w:r>
      <w:r w:rsidR="004C6CD9">
        <w:rPr>
          <w:rFonts w:ascii="Times New Roman" w:hAnsi="Times New Roman" w:cs="Times New Roman"/>
          <w:sz w:val="24"/>
          <w:szCs w:val="24"/>
        </w:rPr>
        <w:t>nt</w:t>
      </w:r>
      <w:r>
        <w:rPr>
          <w:rFonts w:ascii="Times New Roman" w:hAnsi="Times New Roman" w:cs="Times New Roman"/>
          <w:sz w:val="24"/>
          <w:szCs w:val="24"/>
        </w:rPr>
        <w:t xml:space="preserve"> que le vanadium se trouve à l’état tétraédrique.</w:t>
      </w:r>
    </w:p>
    <w:p w:rsidR="004C6CD9" w:rsidRDefault="00C8012E" w:rsidP="004C6CD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Après les tests préliminaires nous avons remarqué que </w:t>
      </w:r>
      <w:r w:rsidR="004C6CD9">
        <w:rPr>
          <w:rFonts w:ascii="Times New Roman" w:hAnsi="Times New Roman" w:cs="Times New Roman"/>
          <w:sz w:val="24"/>
          <w:szCs w:val="24"/>
        </w:rPr>
        <w:t xml:space="preserve">les catalyseurs </w:t>
      </w:r>
      <w:r>
        <w:rPr>
          <w:rFonts w:ascii="Times New Roman" w:hAnsi="Times New Roman" w:cs="Times New Roman"/>
          <w:sz w:val="24"/>
          <w:szCs w:val="24"/>
        </w:rPr>
        <w:t>5%V/Ti-PILC(s) sont actifs et donne</w:t>
      </w:r>
      <w:r w:rsidR="004C6CD9">
        <w:rPr>
          <w:rFonts w:ascii="Times New Roman" w:hAnsi="Times New Roman" w:cs="Times New Roman"/>
          <w:sz w:val="24"/>
          <w:szCs w:val="24"/>
        </w:rPr>
        <w:t>nt</w:t>
      </w:r>
      <w:r>
        <w:rPr>
          <w:rFonts w:ascii="Times New Roman" w:hAnsi="Times New Roman" w:cs="Times New Roman"/>
          <w:sz w:val="24"/>
          <w:szCs w:val="24"/>
        </w:rPr>
        <w:t xml:space="preserve"> des résultats intéressants. </w:t>
      </w:r>
      <w:r w:rsidRPr="00C8012E">
        <w:rPr>
          <w:rFonts w:ascii="Times New Roman" w:hAnsi="Times New Roman" w:cs="Times New Roman"/>
          <w:sz w:val="24"/>
          <w:szCs w:val="24"/>
        </w:rPr>
        <w:t>Nous avons</w:t>
      </w:r>
      <w:r w:rsidR="004C6CD9">
        <w:rPr>
          <w:rFonts w:ascii="Times New Roman" w:hAnsi="Times New Roman" w:cs="Times New Roman"/>
          <w:sz w:val="24"/>
          <w:szCs w:val="24"/>
        </w:rPr>
        <w:t xml:space="preserve"> aussi</w:t>
      </w:r>
      <w:r w:rsidRPr="00C8012E">
        <w:rPr>
          <w:rFonts w:ascii="Times New Roman" w:hAnsi="Times New Roman" w:cs="Times New Roman"/>
          <w:sz w:val="24"/>
          <w:szCs w:val="24"/>
        </w:rPr>
        <w:t xml:space="preserve"> montré que ces catalyseurs présentent des points communs </w:t>
      </w:r>
      <w:r w:rsidR="004C6CD9">
        <w:rPr>
          <w:rFonts w:ascii="Times New Roman" w:hAnsi="Times New Roman" w:cs="Times New Roman"/>
          <w:sz w:val="24"/>
          <w:szCs w:val="24"/>
        </w:rPr>
        <w:t>et</w:t>
      </w:r>
      <w:r w:rsidRPr="00C8012E">
        <w:rPr>
          <w:rFonts w:ascii="Times New Roman" w:hAnsi="Times New Roman" w:cs="Times New Roman"/>
          <w:sz w:val="24"/>
          <w:szCs w:val="24"/>
        </w:rPr>
        <w:t xml:space="preserve"> quelques </w:t>
      </w:r>
      <w:r w:rsidR="00495A3B" w:rsidRPr="00C8012E">
        <w:rPr>
          <w:rFonts w:ascii="Times New Roman" w:hAnsi="Times New Roman" w:cs="Times New Roman"/>
          <w:sz w:val="24"/>
          <w:szCs w:val="24"/>
        </w:rPr>
        <w:t>points</w:t>
      </w:r>
      <w:r w:rsidRPr="00C8012E">
        <w:rPr>
          <w:rFonts w:ascii="Times New Roman" w:hAnsi="Times New Roman" w:cs="Times New Roman"/>
          <w:sz w:val="24"/>
          <w:szCs w:val="24"/>
        </w:rPr>
        <w:t xml:space="preserve"> de différence. </w:t>
      </w:r>
    </w:p>
    <w:p w:rsidR="00C8012E" w:rsidRDefault="00C8012E" w:rsidP="00A25C6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012E">
        <w:rPr>
          <w:rFonts w:ascii="Times New Roman" w:hAnsi="Times New Roman" w:cs="Times New Roman"/>
          <w:sz w:val="24"/>
          <w:szCs w:val="24"/>
        </w:rPr>
        <w:t>En effet, si le titane agit dans tous les cas pour former des piliers interfeuillets de même dimension et de nature hydrophobe, les acides HCl et H</w:t>
      </w:r>
      <w:r w:rsidRPr="00C8012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8012E">
        <w:rPr>
          <w:rFonts w:ascii="Times New Roman" w:hAnsi="Times New Roman" w:cs="Times New Roman"/>
          <w:sz w:val="24"/>
          <w:szCs w:val="24"/>
        </w:rPr>
        <w:t>SO</w:t>
      </w:r>
      <w:r w:rsidRPr="00C8012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C8012E">
        <w:rPr>
          <w:rFonts w:ascii="Times New Roman" w:hAnsi="Times New Roman" w:cs="Times New Roman"/>
          <w:sz w:val="24"/>
          <w:szCs w:val="24"/>
        </w:rPr>
        <w:t xml:space="preserve"> </w:t>
      </w:r>
      <w:r w:rsidR="00A25C6A">
        <w:rPr>
          <w:rFonts w:ascii="Times New Roman" w:hAnsi="Times New Roman" w:cs="Times New Roman"/>
          <w:sz w:val="24"/>
          <w:szCs w:val="24"/>
        </w:rPr>
        <w:t>introduisent des changements non</w:t>
      </w:r>
      <w:r w:rsidRPr="00C8012E">
        <w:rPr>
          <w:rFonts w:ascii="Times New Roman" w:hAnsi="Times New Roman" w:cs="Times New Roman"/>
          <w:sz w:val="24"/>
          <w:szCs w:val="24"/>
        </w:rPr>
        <w:t xml:space="preserve"> uniformes dans le matériau. Ces changements sont tant de nature structurale que géométrique.</w:t>
      </w:r>
      <w:r w:rsidR="00A25C6A">
        <w:rPr>
          <w:rFonts w:ascii="Times New Roman" w:hAnsi="Times New Roman" w:cs="Times New Roman"/>
          <w:sz w:val="24"/>
          <w:szCs w:val="24"/>
        </w:rPr>
        <w:t xml:space="preserve"> </w:t>
      </w:r>
      <w:r w:rsidRPr="00C8012E">
        <w:rPr>
          <w:rFonts w:ascii="Times New Roman" w:hAnsi="Times New Roman" w:cs="Times New Roman"/>
          <w:sz w:val="24"/>
          <w:szCs w:val="24"/>
        </w:rPr>
        <w:t>Cette vision est justifiée par la perte de sélectivité</w:t>
      </w:r>
      <w:r w:rsidR="00495A3B">
        <w:rPr>
          <w:rFonts w:ascii="Times New Roman" w:hAnsi="Times New Roman" w:cs="Times New Roman"/>
          <w:sz w:val="24"/>
          <w:szCs w:val="24"/>
        </w:rPr>
        <w:t xml:space="preserve"> entre le matériau (5%V/Ti-PILC</w:t>
      </w:r>
      <w:r w:rsidRPr="00C8012E">
        <w:rPr>
          <w:rFonts w:ascii="Times New Roman" w:hAnsi="Times New Roman" w:cs="Times New Roman"/>
          <w:sz w:val="24"/>
          <w:szCs w:val="24"/>
        </w:rPr>
        <w:t>(Na-HCl) 100%</w:t>
      </w:r>
      <w:r w:rsidR="00A25C6A">
        <w:rPr>
          <w:rFonts w:ascii="Times New Roman" w:hAnsi="Times New Roman" w:cs="Times New Roman"/>
          <w:sz w:val="24"/>
          <w:szCs w:val="24"/>
        </w:rPr>
        <w:t xml:space="preserve"> sélectif</w:t>
      </w:r>
      <w:r w:rsidRPr="00C8012E">
        <w:rPr>
          <w:rFonts w:ascii="Times New Roman" w:hAnsi="Times New Roman" w:cs="Times New Roman"/>
          <w:sz w:val="24"/>
          <w:szCs w:val="24"/>
        </w:rPr>
        <w:t xml:space="preserve"> et les autre</w:t>
      </w:r>
      <w:r w:rsidR="00A25C6A">
        <w:rPr>
          <w:rFonts w:ascii="Times New Roman" w:hAnsi="Times New Roman" w:cs="Times New Roman"/>
          <w:sz w:val="24"/>
          <w:szCs w:val="24"/>
        </w:rPr>
        <w:t>s</w:t>
      </w:r>
      <w:r w:rsidRPr="00C8012E">
        <w:rPr>
          <w:rFonts w:ascii="Times New Roman" w:hAnsi="Times New Roman" w:cs="Times New Roman"/>
          <w:sz w:val="24"/>
          <w:szCs w:val="24"/>
        </w:rPr>
        <w:t xml:space="preserve"> matériaux  (non sélectif). Ce comportement est plus visible avec les sulfates.</w:t>
      </w:r>
    </w:p>
    <w:p w:rsidR="00C8012E" w:rsidRPr="00C8012E" w:rsidRDefault="00C8012E" w:rsidP="00A25C6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L’utilisation de l’acétonitrile comme solvant polaire apporte une meilleure conversion par rapport à l’heptane</w:t>
      </w:r>
      <w:r w:rsidR="00A25C6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solvant apolaire. Ceci est expliqué par l’</w:t>
      </w:r>
      <w:r w:rsidRPr="00A74A8D">
        <w:rPr>
          <w:rFonts w:ascii="Times New Roman" w:hAnsi="Times New Roman" w:cs="Times New Roman"/>
          <w:sz w:val="24"/>
          <w:szCs w:val="24"/>
        </w:rPr>
        <w:t>interaction avec les parties bentonites du support catalytique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74A8D">
        <w:rPr>
          <w:rFonts w:ascii="Times New Roman" w:hAnsi="Times New Roman" w:cs="Times New Roman"/>
          <w:sz w:val="24"/>
          <w:szCs w:val="24"/>
        </w:rPr>
        <w:t xml:space="preserve">Dans le cas de l’heptane </w:t>
      </w:r>
      <w:r>
        <w:rPr>
          <w:rFonts w:ascii="Times New Roman" w:hAnsi="Times New Roman" w:cs="Times New Roman"/>
          <w:sz w:val="24"/>
          <w:szCs w:val="24"/>
        </w:rPr>
        <w:t>l’</w:t>
      </w:r>
      <w:r w:rsidRPr="00A74A8D">
        <w:rPr>
          <w:rFonts w:ascii="Times New Roman" w:hAnsi="Times New Roman" w:cs="Times New Roman"/>
          <w:sz w:val="24"/>
          <w:szCs w:val="24"/>
        </w:rPr>
        <w:t>affinité avec le support b</w:t>
      </w:r>
      <w:r w:rsidR="00A25C6A">
        <w:rPr>
          <w:rFonts w:ascii="Times New Roman" w:hAnsi="Times New Roman" w:cs="Times New Roman"/>
          <w:sz w:val="24"/>
          <w:szCs w:val="24"/>
        </w:rPr>
        <w:t xml:space="preserve">entonite se trouve très réduite </w:t>
      </w:r>
      <w:r w:rsidRPr="00A74A8D">
        <w:rPr>
          <w:rFonts w:ascii="Times New Roman" w:hAnsi="Times New Roman" w:cs="Times New Roman"/>
          <w:sz w:val="24"/>
          <w:szCs w:val="24"/>
        </w:rPr>
        <w:t>au vue de la nature très polaire e</w:t>
      </w:r>
      <w:r w:rsidR="00A25C6A">
        <w:rPr>
          <w:rFonts w:ascii="Times New Roman" w:hAnsi="Times New Roman" w:cs="Times New Roman"/>
          <w:sz w:val="24"/>
          <w:szCs w:val="24"/>
        </w:rPr>
        <w:t>t chargée</w:t>
      </w:r>
      <w:r w:rsidRPr="00A74A8D">
        <w:rPr>
          <w:rFonts w:ascii="Times New Roman" w:hAnsi="Times New Roman" w:cs="Times New Roman"/>
          <w:sz w:val="24"/>
          <w:szCs w:val="24"/>
        </w:rPr>
        <w:t xml:space="preserve"> de ce dernier.</w:t>
      </w:r>
    </w:p>
    <w:p w:rsidR="00C8012E" w:rsidRDefault="00C8012E" w:rsidP="00A25C6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012E">
        <w:rPr>
          <w:rFonts w:ascii="Times New Roman" w:hAnsi="Times New Roman" w:cs="Times New Roman"/>
          <w:sz w:val="24"/>
          <w:szCs w:val="24"/>
        </w:rPr>
        <w:t>Dans la continuation de ce travail nous proposons</w:t>
      </w:r>
      <w:r>
        <w:rPr>
          <w:rFonts w:ascii="Times New Roman" w:hAnsi="Times New Roman" w:cs="Times New Roman"/>
          <w:sz w:val="24"/>
          <w:szCs w:val="24"/>
        </w:rPr>
        <w:t> :</w:t>
      </w:r>
    </w:p>
    <w:p w:rsidR="00C8012E" w:rsidRPr="00C8012E" w:rsidRDefault="00C8012E" w:rsidP="00C8012E">
      <w:pPr>
        <w:pStyle w:val="Paragraphedeliste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12E">
        <w:rPr>
          <w:rFonts w:ascii="Times New Roman" w:hAnsi="Times New Roman" w:cs="Times New Roman"/>
          <w:sz w:val="24"/>
          <w:szCs w:val="24"/>
        </w:rPr>
        <w:t>d’utiliser un solvant apolaire qui solubilise m</w:t>
      </w:r>
      <w:r w:rsidR="00A25C6A">
        <w:rPr>
          <w:rFonts w:ascii="Times New Roman" w:hAnsi="Times New Roman" w:cs="Times New Roman"/>
          <w:sz w:val="24"/>
          <w:szCs w:val="24"/>
        </w:rPr>
        <w:t xml:space="preserve">ieux les substrats cyclohéxène et </w:t>
      </w:r>
      <w:r w:rsidRPr="00C8012E">
        <w:rPr>
          <w:rFonts w:ascii="Times New Roman" w:hAnsi="Times New Roman" w:cs="Times New Roman"/>
          <w:sz w:val="24"/>
          <w:szCs w:val="24"/>
        </w:rPr>
        <w:t>TBHP.</w:t>
      </w:r>
    </w:p>
    <w:p w:rsidR="00C8012E" w:rsidRPr="00C8012E" w:rsidRDefault="00C8012E" w:rsidP="00C8012E">
      <w:pPr>
        <w:pStyle w:val="Paragraphedeliste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12E">
        <w:rPr>
          <w:rFonts w:ascii="Times New Roman" w:hAnsi="Times New Roman" w:cs="Times New Roman"/>
          <w:sz w:val="24"/>
          <w:szCs w:val="24"/>
        </w:rPr>
        <w:t>Optimiser la quantité d’acide sulfurique de façon à garder une géométrie uniforme de la majorité des pores catalytiques.</w:t>
      </w:r>
    </w:p>
    <w:p w:rsidR="00C8012E" w:rsidRPr="00C8012E" w:rsidRDefault="00C8012E" w:rsidP="00C8012E">
      <w:pPr>
        <w:pStyle w:val="Paragraphedeliste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12E">
        <w:rPr>
          <w:rFonts w:ascii="Times New Roman" w:hAnsi="Times New Roman" w:cs="Times New Roman"/>
          <w:sz w:val="24"/>
          <w:szCs w:val="24"/>
        </w:rPr>
        <w:t>Effectuer des analyses par D</w:t>
      </w:r>
      <w:r>
        <w:rPr>
          <w:rFonts w:ascii="Times New Roman" w:hAnsi="Times New Roman" w:cs="Times New Roman"/>
          <w:sz w:val="24"/>
          <w:szCs w:val="24"/>
        </w:rPr>
        <w:t xml:space="preserve">iffraction des rayons </w:t>
      </w:r>
      <w:r w:rsidRPr="00C8012E">
        <w:rPr>
          <w:rFonts w:ascii="Times New Roman" w:hAnsi="Times New Roman" w:cs="Times New Roman"/>
          <w:sz w:val="24"/>
          <w:szCs w:val="24"/>
        </w:rPr>
        <w:t>X pour vérifier la structure organisée de</w:t>
      </w:r>
      <w:r w:rsidR="00A25C6A">
        <w:rPr>
          <w:rFonts w:ascii="Times New Roman" w:hAnsi="Times New Roman" w:cs="Times New Roman"/>
          <w:sz w:val="24"/>
          <w:szCs w:val="24"/>
        </w:rPr>
        <w:t>s</w:t>
      </w:r>
      <w:r w:rsidRPr="00C8012E">
        <w:rPr>
          <w:rFonts w:ascii="Times New Roman" w:hAnsi="Times New Roman" w:cs="Times New Roman"/>
          <w:sz w:val="24"/>
          <w:szCs w:val="24"/>
        </w:rPr>
        <w:t xml:space="preserve"> matériau</w:t>
      </w:r>
      <w:r w:rsidR="00A25C6A">
        <w:rPr>
          <w:rFonts w:ascii="Times New Roman" w:hAnsi="Times New Roman" w:cs="Times New Roman"/>
          <w:sz w:val="24"/>
          <w:szCs w:val="24"/>
        </w:rPr>
        <w:t>x de</w:t>
      </w:r>
      <w:r w:rsidRPr="00C8012E">
        <w:rPr>
          <w:rFonts w:ascii="Times New Roman" w:hAnsi="Times New Roman" w:cs="Times New Roman"/>
          <w:sz w:val="24"/>
          <w:szCs w:val="24"/>
        </w:rPr>
        <w:t xml:space="preserve"> départ Ti-PILC. Ces </w:t>
      </w:r>
      <w:r>
        <w:rPr>
          <w:rFonts w:ascii="Times New Roman" w:hAnsi="Times New Roman" w:cs="Times New Roman"/>
          <w:sz w:val="24"/>
          <w:szCs w:val="24"/>
        </w:rPr>
        <w:t>analyses</w:t>
      </w:r>
      <w:r w:rsidRPr="00C801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C8012E">
        <w:rPr>
          <w:rFonts w:ascii="Times New Roman" w:hAnsi="Times New Roman" w:cs="Times New Roman"/>
          <w:sz w:val="24"/>
          <w:szCs w:val="24"/>
        </w:rPr>
        <w:t>DRX</w:t>
      </w:r>
      <w:r>
        <w:rPr>
          <w:rFonts w:ascii="Times New Roman" w:hAnsi="Times New Roman" w:cs="Times New Roman"/>
          <w:sz w:val="24"/>
          <w:szCs w:val="24"/>
        </w:rPr>
        <w:t>)</w:t>
      </w:r>
      <w:r w:rsidR="00A25C6A">
        <w:rPr>
          <w:rFonts w:ascii="Times New Roman" w:hAnsi="Times New Roman" w:cs="Times New Roman"/>
          <w:sz w:val="24"/>
          <w:szCs w:val="24"/>
        </w:rPr>
        <w:t xml:space="preserve"> nous permettront</w:t>
      </w:r>
      <w:r w:rsidRPr="00C8012E">
        <w:rPr>
          <w:rFonts w:ascii="Times New Roman" w:hAnsi="Times New Roman" w:cs="Times New Roman"/>
          <w:sz w:val="24"/>
          <w:szCs w:val="24"/>
        </w:rPr>
        <w:t xml:space="preserve"> également de visualiser des éventuels effets sur la structure cristalline de la bentonite.</w:t>
      </w:r>
    </w:p>
    <w:p w:rsidR="00C8012E" w:rsidRPr="00C34E10" w:rsidRDefault="00C8012E" w:rsidP="00C34E10">
      <w:pPr>
        <w:pStyle w:val="Paragraphedeliste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12E">
        <w:rPr>
          <w:rFonts w:ascii="Times New Roman" w:hAnsi="Times New Roman" w:cs="Times New Roman"/>
          <w:sz w:val="24"/>
          <w:szCs w:val="24"/>
        </w:rPr>
        <w:t xml:space="preserve">Nous prévoyons de mesurer la surface spécifique par la </w:t>
      </w:r>
      <w:r w:rsidR="00A25C6A">
        <w:rPr>
          <w:rFonts w:ascii="Times New Roman" w:hAnsi="Times New Roman" w:cs="Times New Roman"/>
          <w:sz w:val="24"/>
          <w:szCs w:val="24"/>
        </w:rPr>
        <w:t xml:space="preserve"> technique BET. Ces analyses nous permettront</w:t>
      </w:r>
      <w:r w:rsidRPr="00C8012E">
        <w:rPr>
          <w:rFonts w:ascii="Times New Roman" w:hAnsi="Times New Roman" w:cs="Times New Roman"/>
          <w:sz w:val="24"/>
          <w:szCs w:val="24"/>
        </w:rPr>
        <w:t xml:space="preserve"> de comparer la surface spécifique d</w:t>
      </w:r>
      <w:r w:rsidR="00A25C6A">
        <w:rPr>
          <w:rFonts w:ascii="Times New Roman" w:hAnsi="Times New Roman" w:cs="Times New Roman"/>
          <w:sz w:val="24"/>
          <w:szCs w:val="24"/>
        </w:rPr>
        <w:t xml:space="preserve">es quatre matériaux catalytiques </w:t>
      </w:r>
      <w:r w:rsidRPr="00C8012E">
        <w:rPr>
          <w:rFonts w:ascii="Times New Roman" w:hAnsi="Times New Roman" w:cs="Times New Roman"/>
          <w:sz w:val="24"/>
          <w:szCs w:val="24"/>
        </w:rPr>
        <w:t xml:space="preserve">et de </w:t>
      </w:r>
      <w:r w:rsidR="00495A3B" w:rsidRPr="00C8012E">
        <w:rPr>
          <w:rFonts w:ascii="Times New Roman" w:hAnsi="Times New Roman" w:cs="Times New Roman"/>
          <w:sz w:val="24"/>
          <w:szCs w:val="24"/>
        </w:rPr>
        <w:t>leurs supports précurseurs</w:t>
      </w:r>
      <w:r w:rsidRPr="00C8012E">
        <w:rPr>
          <w:rFonts w:ascii="Times New Roman" w:hAnsi="Times New Roman" w:cs="Times New Roman"/>
          <w:sz w:val="24"/>
          <w:szCs w:val="24"/>
        </w:rPr>
        <w:t>.</w:t>
      </w:r>
    </w:p>
    <w:sectPr w:rsidR="00C8012E" w:rsidRPr="00C34E10" w:rsidSect="00495A3B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10E1" w:rsidRDefault="007F10E1" w:rsidP="00C8012E">
      <w:pPr>
        <w:spacing w:after="0" w:line="240" w:lineRule="auto"/>
      </w:pPr>
      <w:r>
        <w:separator/>
      </w:r>
    </w:p>
  </w:endnote>
  <w:endnote w:type="continuationSeparator" w:id="1">
    <w:p w:rsidR="007F10E1" w:rsidRDefault="007F10E1" w:rsidP="00C80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483442"/>
      <w:docPartObj>
        <w:docPartGallery w:val="Page Numbers (Bottom of Page)"/>
        <w:docPartUnique/>
      </w:docPartObj>
    </w:sdtPr>
    <w:sdtContent>
      <w:p w:rsidR="003958C1" w:rsidRDefault="00494047">
        <w:pPr>
          <w:pStyle w:val="Pieddepage"/>
          <w:jc w:val="center"/>
        </w:pPr>
        <w:r>
          <w:pict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_x0000_s3073" type="#_x0000_t110" style="width:468pt;height:3.55pt;flip:y;mso-width-percent:1000;mso-position-horizontal-relative:char;mso-position-vertical-relative:line;mso-width-percent:1000;mso-width-relative:margin" fillcolor="black [3213]" stroked="f" strokecolor="black [3213]">
              <v:fill r:id="rId1" o:title="Light horizontal" type="pattern"/>
              <w10:wrap type="none" anchorx="margin" anchory="page"/>
              <w10:anchorlock/>
            </v:shape>
          </w:pict>
        </w:r>
      </w:p>
      <w:p w:rsidR="003958C1" w:rsidRDefault="003958C1">
        <w:pPr>
          <w:pStyle w:val="Pieddepage"/>
          <w:jc w:val="center"/>
        </w:pPr>
        <w:r>
          <w:t>37</w:t>
        </w:r>
      </w:p>
    </w:sdtContent>
  </w:sdt>
  <w:p w:rsidR="009C0CE6" w:rsidRDefault="009C0CE6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10E1" w:rsidRDefault="007F10E1" w:rsidP="00C8012E">
      <w:pPr>
        <w:spacing w:after="0" w:line="240" w:lineRule="auto"/>
      </w:pPr>
      <w:r>
        <w:separator/>
      </w:r>
    </w:p>
  </w:footnote>
  <w:footnote w:type="continuationSeparator" w:id="1">
    <w:p w:rsidR="007F10E1" w:rsidRDefault="007F10E1" w:rsidP="00C801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eastAsiaTheme="majorEastAsia" w:hAnsi="Times New Roman" w:cs="Times New Roman"/>
        <w:b/>
        <w:bCs/>
        <w:i/>
        <w:iCs/>
        <w:caps/>
        <w:sz w:val="28"/>
        <w:szCs w:val="28"/>
      </w:rPr>
      <w:alias w:val="Titre"/>
      <w:id w:val="77738743"/>
      <w:placeholder>
        <w:docPart w:val="9C61E29A56D14409BC1CBEA137AB0902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C8012E" w:rsidRPr="00C8012E" w:rsidRDefault="00C34E10" w:rsidP="00C34E10">
        <w:pPr>
          <w:pStyle w:val="En-tte"/>
          <w:pBdr>
            <w:bottom w:val="thickThinSmallGap" w:sz="24" w:space="1" w:color="622423" w:themeColor="accent2" w:themeShade="7F"/>
          </w:pBdr>
          <w:jc w:val="center"/>
          <w:rPr>
            <w:rFonts w:ascii="Times New Roman" w:eastAsiaTheme="majorEastAsia" w:hAnsi="Times New Roman" w:cs="Times New Roman"/>
            <w:i/>
            <w:iCs/>
            <w:sz w:val="36"/>
            <w:szCs w:val="36"/>
          </w:rPr>
        </w:pPr>
        <w:r w:rsidRPr="00C34E10">
          <w:rPr>
            <w:rFonts w:ascii="Times New Roman" w:eastAsiaTheme="majorEastAsia" w:hAnsi="Times New Roman" w:cs="Times New Roman"/>
            <w:b/>
            <w:bCs/>
            <w:i/>
            <w:iCs/>
            <w:caps/>
            <w:sz w:val="28"/>
            <w:szCs w:val="28"/>
          </w:rPr>
          <w:t>Conclusion generale</w:t>
        </w:r>
      </w:p>
    </w:sdtContent>
  </w:sdt>
  <w:p w:rsidR="00C8012E" w:rsidRDefault="00C8012E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B6F35"/>
    <w:multiLevelType w:val="hybridMultilevel"/>
    <w:tmpl w:val="9F085C6E"/>
    <w:lvl w:ilvl="0" w:tplc="040C000D">
      <w:start w:val="1"/>
      <w:numFmt w:val="bullet"/>
      <w:lvlText w:val=""/>
      <w:lvlJc w:val="left"/>
      <w:pPr>
        <w:ind w:left="7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0242"/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C74F35"/>
    <w:rsid w:val="003958C1"/>
    <w:rsid w:val="00494047"/>
    <w:rsid w:val="00495A3B"/>
    <w:rsid w:val="004C6CD9"/>
    <w:rsid w:val="005B60BE"/>
    <w:rsid w:val="006D22AD"/>
    <w:rsid w:val="007F10E1"/>
    <w:rsid w:val="00817932"/>
    <w:rsid w:val="00877183"/>
    <w:rsid w:val="00900541"/>
    <w:rsid w:val="009C0CE6"/>
    <w:rsid w:val="009F207E"/>
    <w:rsid w:val="00A25C6A"/>
    <w:rsid w:val="00A34A8B"/>
    <w:rsid w:val="00C34E10"/>
    <w:rsid w:val="00C74F35"/>
    <w:rsid w:val="00C8012E"/>
    <w:rsid w:val="00CB29D9"/>
    <w:rsid w:val="00FD51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9D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8012E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C801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8012E"/>
  </w:style>
  <w:style w:type="paragraph" w:styleId="Pieddepage">
    <w:name w:val="footer"/>
    <w:basedOn w:val="Normal"/>
    <w:link w:val="PieddepageCar"/>
    <w:uiPriority w:val="99"/>
    <w:unhideWhenUsed/>
    <w:rsid w:val="00C801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8012E"/>
  </w:style>
  <w:style w:type="paragraph" w:styleId="Textedebulles">
    <w:name w:val="Balloon Text"/>
    <w:basedOn w:val="Normal"/>
    <w:link w:val="TextedebullesCar"/>
    <w:uiPriority w:val="99"/>
    <w:semiHidden/>
    <w:unhideWhenUsed/>
    <w:rsid w:val="00C8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801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C61E29A56D14409BC1CBEA137AB09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05B3438-348E-4576-9C9E-2A4280BFEFFC}"/>
      </w:docPartPr>
      <w:docPartBody>
        <w:p w:rsidR="00CE47B2" w:rsidRDefault="003330CE" w:rsidP="003330CE">
          <w:pPr>
            <w:pStyle w:val="9C61E29A56D14409BC1CBEA137AB0902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[Tapez le titre du document]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3330CE"/>
    <w:rsid w:val="00003667"/>
    <w:rsid w:val="003330CE"/>
    <w:rsid w:val="00A64963"/>
    <w:rsid w:val="00A802C4"/>
    <w:rsid w:val="00CE47B2"/>
    <w:rsid w:val="00DA11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7B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9C61E29A56D14409BC1CBEA137AB0902">
    <w:name w:val="9C61E29A56D14409BC1CBEA137AB0902"/>
    <w:rsid w:val="003330CE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384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Conclusion générale</vt:lpstr>
    </vt:vector>
  </TitlesOfParts>
  <Company>HD</Company>
  <LinksUpToDate>false</LinksUpToDate>
  <CharactersWithSpaces>2492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Conclusion generale</dc:title>
  <dc:subject/>
  <dc:creator>Ghost</dc:creator>
  <cp:keywords/>
  <dc:description/>
  <cp:lastModifiedBy>Ghost</cp:lastModifiedBy>
  <cp:revision>7</cp:revision>
  <dcterms:created xsi:type="dcterms:W3CDTF">2011-06-25T06:48:00Z</dcterms:created>
  <dcterms:modified xsi:type="dcterms:W3CDTF">2011-06-26T10:44:00Z</dcterms:modified>
</cp:coreProperties>
</file>