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324" w:rsidRPr="008164FB" w:rsidRDefault="00A90324" w:rsidP="00FD483B">
      <w:pPr>
        <w:widowControl w:val="0"/>
        <w:autoSpaceDE w:val="0"/>
        <w:autoSpaceDN w:val="0"/>
        <w:adjustRightInd w:val="0"/>
        <w:spacing w:after="0" w:line="360" w:lineRule="auto"/>
        <w:jc w:val="both"/>
        <w:rPr>
          <w:rFonts w:asciiTheme="majorBidi" w:hAnsiTheme="majorBidi" w:cstheme="majorBidi"/>
          <w:b/>
          <w:bCs/>
          <w:i/>
          <w:iCs/>
          <w:caps/>
          <w:color w:val="000000"/>
          <w:sz w:val="24"/>
          <w:szCs w:val="24"/>
        </w:rPr>
      </w:pPr>
      <w:r w:rsidRPr="008164FB">
        <w:rPr>
          <w:rFonts w:asciiTheme="majorBidi" w:hAnsiTheme="majorBidi" w:cstheme="majorBidi"/>
          <w:b/>
          <w:bCs/>
          <w:i/>
          <w:iCs/>
          <w:caps/>
          <w:color w:val="000000"/>
          <w:sz w:val="24"/>
          <w:szCs w:val="24"/>
        </w:rPr>
        <w:t>Chapitre II : Etude Expérimentale des catalyseurs</w:t>
      </w:r>
    </w:p>
    <w:p w:rsidR="00F205F1" w:rsidRPr="00982A18" w:rsidRDefault="00F205F1" w:rsidP="00FD483B">
      <w:pPr>
        <w:spacing w:after="0" w:line="360" w:lineRule="auto"/>
        <w:ind w:firstLine="567"/>
        <w:jc w:val="both"/>
        <w:rPr>
          <w:rFonts w:asciiTheme="majorBidi" w:hAnsiTheme="majorBidi" w:cstheme="majorBidi"/>
          <w:sz w:val="24"/>
          <w:szCs w:val="24"/>
        </w:rPr>
      </w:pPr>
      <w:r w:rsidRPr="00982A18">
        <w:rPr>
          <w:rFonts w:asciiTheme="majorBidi" w:hAnsiTheme="majorBidi" w:cstheme="majorBidi"/>
          <w:sz w:val="24"/>
          <w:szCs w:val="24"/>
        </w:rPr>
        <w:t xml:space="preserve">L’objectif de cette partie est de modifier la structure de la montmorillonite, en intercalant le polycation hydroxy-titanique afin d’espacer le plus possible les feuillets de l’argile, augmenter leur distance basale, créer des micropores et des sites actifs pour son utilisation comme </w:t>
      </w:r>
      <w:r w:rsidR="006651B3">
        <w:rPr>
          <w:rFonts w:asciiTheme="majorBidi" w:hAnsiTheme="majorBidi" w:cstheme="majorBidi"/>
          <w:sz w:val="24"/>
          <w:szCs w:val="24"/>
        </w:rPr>
        <w:t>support catalytique du vanadium</w:t>
      </w:r>
      <w:r w:rsidR="00FD483B">
        <w:rPr>
          <w:rFonts w:asciiTheme="majorBidi" w:hAnsiTheme="majorBidi" w:cstheme="majorBidi"/>
          <w:sz w:val="24"/>
          <w:szCs w:val="24"/>
        </w:rPr>
        <w:t>. L</w:t>
      </w:r>
      <w:r w:rsidRPr="00982A18">
        <w:rPr>
          <w:rFonts w:asciiTheme="majorBidi" w:hAnsiTheme="majorBidi" w:cstheme="majorBidi"/>
          <w:sz w:val="24"/>
          <w:szCs w:val="24"/>
        </w:rPr>
        <w:t>es catalyseurs préparé</w:t>
      </w:r>
      <w:r>
        <w:rPr>
          <w:rFonts w:asciiTheme="majorBidi" w:hAnsiTheme="majorBidi" w:cstheme="majorBidi"/>
          <w:sz w:val="24"/>
          <w:szCs w:val="24"/>
        </w:rPr>
        <w:t>s s</w:t>
      </w:r>
      <w:r w:rsidRPr="00982A18">
        <w:rPr>
          <w:rFonts w:asciiTheme="majorBidi" w:hAnsiTheme="majorBidi" w:cstheme="majorBidi"/>
          <w:sz w:val="24"/>
          <w:szCs w:val="24"/>
        </w:rPr>
        <w:t xml:space="preserve">eront testés </w:t>
      </w:r>
      <w:r w:rsidR="006651B3">
        <w:rPr>
          <w:rFonts w:asciiTheme="majorBidi" w:hAnsiTheme="majorBidi" w:cstheme="majorBidi"/>
          <w:sz w:val="24"/>
          <w:szCs w:val="24"/>
        </w:rPr>
        <w:t>pour</w:t>
      </w:r>
      <w:r w:rsidRPr="00982A18">
        <w:rPr>
          <w:rFonts w:asciiTheme="majorBidi" w:hAnsiTheme="majorBidi" w:cstheme="majorBidi"/>
          <w:sz w:val="24"/>
          <w:szCs w:val="24"/>
        </w:rPr>
        <w:t xml:space="preserve"> la réaction de l’époxydation du cyclohéxène.  </w:t>
      </w:r>
    </w:p>
    <w:p w:rsidR="007820CD" w:rsidRPr="008164FB" w:rsidRDefault="00E509CC" w:rsidP="00FD483B">
      <w:pPr>
        <w:tabs>
          <w:tab w:val="left" w:pos="567"/>
        </w:tabs>
        <w:spacing w:after="0" w:line="360" w:lineRule="auto"/>
        <w:ind w:firstLine="284"/>
        <w:jc w:val="both"/>
        <w:rPr>
          <w:rFonts w:asciiTheme="majorBidi" w:hAnsiTheme="majorBidi" w:cstheme="majorBidi"/>
          <w:b/>
          <w:bCs/>
          <w:i/>
          <w:iCs/>
          <w:color w:val="C00000"/>
          <w:sz w:val="24"/>
          <w:szCs w:val="24"/>
        </w:rPr>
      </w:pPr>
      <w:r w:rsidRPr="008164FB">
        <w:rPr>
          <w:rFonts w:asciiTheme="majorBidi" w:hAnsiTheme="majorBidi" w:cstheme="majorBidi"/>
          <w:b/>
          <w:bCs/>
          <w:i/>
          <w:iCs/>
          <w:color w:val="C00000"/>
          <w:sz w:val="24"/>
          <w:szCs w:val="24"/>
        </w:rPr>
        <w:t>1. Traitement du support</w:t>
      </w:r>
    </w:p>
    <w:p w:rsidR="00F205F1" w:rsidRPr="007820CD" w:rsidRDefault="00F205F1" w:rsidP="00FD483B">
      <w:pPr>
        <w:tabs>
          <w:tab w:val="left" w:pos="567"/>
        </w:tabs>
        <w:spacing w:after="0" w:line="360" w:lineRule="auto"/>
        <w:ind w:firstLine="284"/>
        <w:jc w:val="both"/>
        <w:rPr>
          <w:rFonts w:asciiTheme="majorBidi" w:hAnsiTheme="majorBidi" w:cstheme="majorBidi"/>
          <w:b/>
          <w:bCs/>
          <w:i/>
          <w:iCs/>
          <w:sz w:val="24"/>
          <w:szCs w:val="24"/>
        </w:rPr>
      </w:pPr>
      <w:r w:rsidRPr="00E509CC">
        <w:rPr>
          <w:rFonts w:asciiTheme="majorBidi" w:hAnsiTheme="majorBidi" w:cstheme="majorBidi"/>
          <w:b/>
          <w:bCs/>
          <w:i/>
          <w:iCs/>
          <w:sz w:val="24"/>
          <w:szCs w:val="24"/>
        </w:rPr>
        <w:t xml:space="preserve">   </w:t>
      </w:r>
      <w:r w:rsidR="00E509CC" w:rsidRPr="0081657E">
        <w:rPr>
          <w:rFonts w:asciiTheme="majorBidi" w:hAnsiTheme="majorBidi" w:cstheme="majorBidi"/>
          <w:b/>
          <w:bCs/>
          <w:i/>
          <w:iCs/>
          <w:sz w:val="24"/>
          <w:szCs w:val="24"/>
          <w:u w:val="single"/>
        </w:rPr>
        <w:t>1.1.</w:t>
      </w:r>
      <w:r w:rsidRPr="0081657E">
        <w:rPr>
          <w:rFonts w:asciiTheme="majorBidi" w:hAnsiTheme="majorBidi" w:cstheme="majorBidi"/>
          <w:b/>
          <w:bCs/>
          <w:i/>
          <w:iCs/>
          <w:sz w:val="24"/>
          <w:szCs w:val="24"/>
          <w:u w:val="single"/>
        </w:rPr>
        <w:t xml:space="preserve"> Purification de la bentonite</w:t>
      </w:r>
      <w:r w:rsidRPr="00E509CC">
        <w:rPr>
          <w:rFonts w:asciiTheme="majorBidi" w:hAnsiTheme="majorBidi" w:cstheme="majorBidi"/>
          <w:i/>
          <w:iCs/>
          <w:sz w:val="24"/>
          <w:szCs w:val="24"/>
        </w:rPr>
        <w:t> :</w:t>
      </w:r>
    </w:p>
    <w:p w:rsidR="00F205F1" w:rsidRDefault="00F205F1" w:rsidP="00FD483B">
      <w:pPr>
        <w:spacing w:after="0" w:line="360" w:lineRule="auto"/>
        <w:ind w:firstLine="567"/>
        <w:jc w:val="both"/>
        <w:rPr>
          <w:rFonts w:asciiTheme="majorBidi" w:hAnsiTheme="majorBidi" w:cstheme="majorBidi"/>
          <w:sz w:val="24"/>
          <w:szCs w:val="24"/>
        </w:rPr>
      </w:pPr>
      <w:r w:rsidRPr="00982A18">
        <w:rPr>
          <w:rFonts w:asciiTheme="majorBidi" w:hAnsiTheme="majorBidi" w:cstheme="majorBidi"/>
          <w:sz w:val="24"/>
          <w:szCs w:val="24"/>
        </w:rPr>
        <w:t>Le produit de départ étant une argile (bentonite) naturelle du gisement de Maghnia (ouest Algérien) symbolisée par MMT.</w:t>
      </w:r>
      <w:r>
        <w:rPr>
          <w:rFonts w:asciiTheme="majorBidi" w:hAnsiTheme="majorBidi" w:cstheme="majorBidi"/>
          <w:sz w:val="24"/>
          <w:szCs w:val="24"/>
        </w:rPr>
        <w:t xml:space="preserve"> Sa purification a suivie les étapes suivantes.</w:t>
      </w:r>
    </w:p>
    <w:p w:rsidR="00F205F1" w:rsidRPr="0025402F" w:rsidRDefault="00F205F1" w:rsidP="00FD483B">
      <w:pPr>
        <w:pStyle w:val="Paragraphedeliste"/>
        <w:numPr>
          <w:ilvl w:val="0"/>
          <w:numId w:val="1"/>
        </w:numPr>
        <w:rPr>
          <w:rFonts w:ascii="Times New Roman" w:hAnsi="Times New Roman" w:cs="Times New Roman"/>
          <w:sz w:val="24"/>
          <w:szCs w:val="24"/>
        </w:rPr>
      </w:pPr>
      <w:r w:rsidRPr="0025402F">
        <w:rPr>
          <w:rFonts w:ascii="Times New Roman" w:hAnsi="Times New Roman" w:cs="Times New Roman"/>
          <w:sz w:val="24"/>
          <w:szCs w:val="24"/>
        </w:rPr>
        <w:t>Broyage de l’argile dans le broyeur.</w:t>
      </w:r>
    </w:p>
    <w:p w:rsidR="00F205F1" w:rsidRPr="0025402F" w:rsidRDefault="00F205F1" w:rsidP="00FD483B">
      <w:pPr>
        <w:pStyle w:val="Paragraphedeliste"/>
        <w:numPr>
          <w:ilvl w:val="0"/>
          <w:numId w:val="1"/>
        </w:numPr>
        <w:rPr>
          <w:rFonts w:ascii="Times New Roman" w:hAnsi="Times New Roman" w:cs="Times New Roman"/>
          <w:sz w:val="24"/>
          <w:szCs w:val="24"/>
        </w:rPr>
      </w:pPr>
      <w:r w:rsidRPr="0025402F">
        <w:rPr>
          <w:rFonts w:ascii="Times New Roman" w:hAnsi="Times New Roman" w:cs="Times New Roman"/>
          <w:sz w:val="24"/>
          <w:szCs w:val="24"/>
        </w:rPr>
        <w:t>Tamisage de la poudre de bentonite (tamis de 56µm).</w:t>
      </w:r>
    </w:p>
    <w:p w:rsidR="00F205F1" w:rsidRPr="00A87356" w:rsidRDefault="00F205F1" w:rsidP="00FD483B">
      <w:pPr>
        <w:pStyle w:val="Paragraphedeliste"/>
        <w:numPr>
          <w:ilvl w:val="0"/>
          <w:numId w:val="1"/>
        </w:numPr>
        <w:rPr>
          <w:rFonts w:ascii="Times New Roman" w:hAnsi="Times New Roman" w:cs="Times New Roman"/>
          <w:sz w:val="24"/>
          <w:szCs w:val="24"/>
        </w:rPr>
      </w:pPr>
      <w:r w:rsidRPr="00A87356">
        <w:rPr>
          <w:rFonts w:ascii="Times New Roman" w:hAnsi="Times New Roman" w:cs="Times New Roman"/>
          <w:i/>
          <w:iCs/>
          <w:sz w:val="24"/>
          <w:szCs w:val="24"/>
        </w:rPr>
        <w:t xml:space="preserve"> </w:t>
      </w:r>
      <w:r w:rsidRPr="00A87356">
        <w:rPr>
          <w:rFonts w:ascii="Times New Roman" w:hAnsi="Times New Roman" w:cs="Times New Roman"/>
          <w:sz w:val="24"/>
          <w:szCs w:val="24"/>
        </w:rPr>
        <w:t>Sédimentation </w:t>
      </w:r>
      <w:r>
        <w:rPr>
          <w:rFonts w:ascii="Times New Roman" w:hAnsi="Times New Roman" w:cs="Times New Roman"/>
          <w:sz w:val="24"/>
          <w:szCs w:val="24"/>
        </w:rPr>
        <w:t>successive d’une suspension d’argile.</w:t>
      </w:r>
    </w:p>
    <w:p w:rsidR="00F205F1" w:rsidRDefault="006651B3" w:rsidP="00FD483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10 g de la bentonite naturelle séchés à 110°C est dispersé dans un litre d’eau distillé et laissé sous agitation pendant 2h. Ensuite la suspension argileuse est laissée au repos pendant 24 h dans une éprouvette de 1 litre</w:t>
      </w:r>
      <w:r w:rsidR="00F205F1" w:rsidRPr="0025402F">
        <w:rPr>
          <w:rFonts w:ascii="Times New Roman" w:hAnsi="Times New Roman" w:cs="Times New Roman"/>
          <w:sz w:val="24"/>
          <w:szCs w:val="24"/>
        </w:rPr>
        <w:t>, le prélèvement de la fraction supérieur se fait sur une hauteur de 15</w:t>
      </w:r>
      <w:r w:rsidR="00F205F1">
        <w:rPr>
          <w:rFonts w:ascii="Times New Roman" w:hAnsi="Times New Roman" w:cs="Times New Roman"/>
          <w:sz w:val="24"/>
          <w:szCs w:val="24"/>
        </w:rPr>
        <w:t xml:space="preserve"> </w:t>
      </w:r>
      <w:r w:rsidR="00F205F1" w:rsidRPr="0025402F">
        <w:rPr>
          <w:rFonts w:ascii="Times New Roman" w:hAnsi="Times New Roman" w:cs="Times New Roman"/>
          <w:sz w:val="24"/>
          <w:szCs w:val="24"/>
        </w:rPr>
        <w:t>cm par siph</w:t>
      </w:r>
      <w:r w:rsidR="00F205F1">
        <w:rPr>
          <w:rFonts w:ascii="Times New Roman" w:hAnsi="Times New Roman" w:cs="Times New Roman"/>
          <w:sz w:val="24"/>
          <w:szCs w:val="24"/>
        </w:rPr>
        <w:t>onage avec un écoulement lent  p</w:t>
      </w:r>
      <w:r w:rsidR="00F205F1" w:rsidRPr="0025402F">
        <w:rPr>
          <w:rFonts w:ascii="Times New Roman" w:hAnsi="Times New Roman" w:cs="Times New Roman"/>
          <w:sz w:val="24"/>
          <w:szCs w:val="24"/>
        </w:rPr>
        <w:t>our éviter la perturbation du milieu, ensuite ce dernier est séché à 80</w:t>
      </w:r>
      <w:r w:rsidR="00F205F1">
        <w:rPr>
          <w:rFonts w:ascii="Times New Roman" w:hAnsi="Times New Roman" w:cs="Times New Roman"/>
          <w:sz w:val="24"/>
          <w:szCs w:val="24"/>
        </w:rPr>
        <w:t xml:space="preserve"> °C.</w:t>
      </w:r>
    </w:p>
    <w:p w:rsidR="00E509CC" w:rsidRPr="0081657E" w:rsidRDefault="00E509CC" w:rsidP="00FD483B">
      <w:pPr>
        <w:spacing w:after="0" w:line="360" w:lineRule="auto"/>
        <w:ind w:firstLine="567"/>
        <w:jc w:val="both"/>
        <w:rPr>
          <w:rFonts w:asciiTheme="majorBidi" w:hAnsiTheme="majorBidi" w:cstheme="majorBidi"/>
          <w:b/>
          <w:bCs/>
          <w:i/>
          <w:iCs/>
          <w:sz w:val="24"/>
          <w:szCs w:val="24"/>
          <w:u w:val="single"/>
        </w:rPr>
      </w:pPr>
      <w:r w:rsidRPr="0081657E">
        <w:rPr>
          <w:rFonts w:asciiTheme="majorBidi" w:hAnsiTheme="majorBidi" w:cstheme="majorBidi"/>
          <w:b/>
          <w:bCs/>
          <w:i/>
          <w:iCs/>
          <w:sz w:val="24"/>
          <w:szCs w:val="24"/>
          <w:u w:val="single"/>
        </w:rPr>
        <w:t>1.2. Préparation de la bentonite sodée</w:t>
      </w:r>
      <w:r w:rsidR="008B4326" w:rsidRPr="0081657E">
        <w:rPr>
          <w:rFonts w:ascii="Times New Roman" w:hAnsi="Times New Roman" w:cs="Times New Roman"/>
          <w:b/>
          <w:bCs/>
          <w:i/>
          <w:iCs/>
          <w:sz w:val="24"/>
          <w:szCs w:val="24"/>
          <w:u w:val="single"/>
        </w:rPr>
        <w:t xml:space="preserve"> (Mont-Na</w:t>
      </w:r>
      <w:r w:rsidR="008B4326" w:rsidRPr="0081657E">
        <w:rPr>
          <w:rFonts w:ascii="Times New Roman" w:hAnsi="Times New Roman" w:cs="Times New Roman"/>
          <w:b/>
          <w:bCs/>
          <w:i/>
          <w:iCs/>
          <w:sz w:val="24"/>
          <w:szCs w:val="24"/>
          <w:u w:val="single"/>
          <w:vertAlign w:val="superscript"/>
        </w:rPr>
        <w:t>+</w:t>
      </w:r>
      <w:r w:rsidR="008B4326" w:rsidRPr="0081657E">
        <w:rPr>
          <w:rFonts w:ascii="Times New Roman" w:hAnsi="Times New Roman" w:cs="Times New Roman"/>
          <w:b/>
          <w:bCs/>
          <w:i/>
          <w:iCs/>
          <w:sz w:val="24"/>
          <w:szCs w:val="24"/>
          <w:u w:val="single"/>
        </w:rPr>
        <w:t>)</w:t>
      </w:r>
    </w:p>
    <w:p w:rsidR="00E509CC" w:rsidRDefault="00622AD1" w:rsidP="00FD483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E509CC">
        <w:rPr>
          <w:rFonts w:ascii="Times New Roman" w:hAnsi="Times New Roman" w:cs="Times New Roman"/>
          <w:sz w:val="24"/>
          <w:szCs w:val="24"/>
        </w:rPr>
        <w:t>La bentonite, une fois purifiée</w:t>
      </w:r>
      <w:r w:rsidR="008B4326">
        <w:rPr>
          <w:rFonts w:ascii="Times New Roman" w:hAnsi="Times New Roman" w:cs="Times New Roman"/>
          <w:sz w:val="24"/>
          <w:szCs w:val="24"/>
        </w:rPr>
        <w:t>,</w:t>
      </w:r>
      <w:r w:rsidR="00E509CC">
        <w:rPr>
          <w:rFonts w:ascii="Times New Roman" w:hAnsi="Times New Roman" w:cs="Times New Roman"/>
          <w:sz w:val="24"/>
          <w:szCs w:val="24"/>
        </w:rPr>
        <w:t xml:space="preserve"> est lavée quatre fois avec une solution de </w:t>
      </w:r>
      <w:r w:rsidR="00E509CC" w:rsidRPr="0025402F">
        <w:rPr>
          <w:rFonts w:ascii="Times New Roman" w:hAnsi="Times New Roman" w:cs="Times New Roman"/>
          <w:sz w:val="24"/>
          <w:szCs w:val="24"/>
        </w:rPr>
        <w:t>NaCl (</w:t>
      </w:r>
      <w:r w:rsidR="006651B3">
        <w:rPr>
          <w:rFonts w:ascii="Times New Roman" w:hAnsi="Times New Roman" w:cs="Times New Roman"/>
          <w:sz w:val="24"/>
          <w:szCs w:val="24"/>
        </w:rPr>
        <w:t>1</w:t>
      </w:r>
      <w:r w:rsidR="00E509CC" w:rsidRPr="0025402F">
        <w:rPr>
          <w:rFonts w:ascii="Times New Roman" w:hAnsi="Times New Roman" w:cs="Times New Roman"/>
          <w:sz w:val="24"/>
          <w:szCs w:val="24"/>
        </w:rPr>
        <w:t>M)</w:t>
      </w:r>
      <w:r w:rsidR="00E509CC">
        <w:rPr>
          <w:rFonts w:ascii="Times New Roman" w:hAnsi="Times New Roman" w:cs="Times New Roman"/>
          <w:sz w:val="24"/>
          <w:szCs w:val="24"/>
        </w:rPr>
        <w:t xml:space="preserve"> pendant </w:t>
      </w:r>
      <w:r w:rsidR="008B4326">
        <w:rPr>
          <w:rFonts w:ascii="Times New Roman" w:hAnsi="Times New Roman" w:cs="Times New Roman"/>
          <w:sz w:val="24"/>
          <w:szCs w:val="24"/>
        </w:rPr>
        <w:t>4 h, puis lavée avec de l’eau distillée jusqu’à élimination totale des ions chlorures.</w:t>
      </w:r>
      <w:r w:rsidR="00E509CC" w:rsidRPr="0025402F">
        <w:rPr>
          <w:rFonts w:ascii="Times New Roman" w:hAnsi="Times New Roman" w:cs="Times New Roman"/>
          <w:sz w:val="24"/>
          <w:szCs w:val="24"/>
        </w:rPr>
        <w:t xml:space="preserve"> </w:t>
      </w:r>
    </w:p>
    <w:p w:rsidR="000C0A12" w:rsidRPr="0081657E" w:rsidRDefault="00E509CC" w:rsidP="00FD483B">
      <w:pPr>
        <w:spacing w:after="0" w:line="360" w:lineRule="auto"/>
        <w:ind w:firstLine="567"/>
        <w:jc w:val="both"/>
        <w:rPr>
          <w:rFonts w:ascii="Times New Roman" w:hAnsi="Times New Roman" w:cs="Times New Roman"/>
          <w:b/>
          <w:bCs/>
          <w:i/>
          <w:iCs/>
          <w:sz w:val="24"/>
          <w:szCs w:val="24"/>
          <w:u w:val="single"/>
        </w:rPr>
      </w:pPr>
      <w:r w:rsidRPr="0081657E">
        <w:rPr>
          <w:rFonts w:asciiTheme="majorBidi" w:hAnsiTheme="majorBidi" w:cstheme="majorBidi"/>
          <w:b/>
          <w:bCs/>
          <w:i/>
          <w:iCs/>
          <w:sz w:val="24"/>
          <w:szCs w:val="24"/>
          <w:u w:val="single"/>
        </w:rPr>
        <w:t>1.3. Préparation de la bentonite acidifiée</w:t>
      </w:r>
      <w:r w:rsidR="008B4326" w:rsidRPr="0081657E">
        <w:rPr>
          <w:rFonts w:ascii="Times New Roman" w:hAnsi="Times New Roman" w:cs="Times New Roman"/>
          <w:b/>
          <w:bCs/>
          <w:i/>
          <w:iCs/>
          <w:sz w:val="24"/>
          <w:szCs w:val="24"/>
          <w:u w:val="single"/>
        </w:rPr>
        <w:t xml:space="preserve"> (Mont-H</w:t>
      </w:r>
      <w:r w:rsidR="008B4326" w:rsidRPr="0081657E">
        <w:rPr>
          <w:rFonts w:ascii="Times New Roman" w:hAnsi="Times New Roman" w:cs="Times New Roman"/>
          <w:b/>
          <w:bCs/>
          <w:i/>
          <w:iCs/>
          <w:sz w:val="24"/>
          <w:szCs w:val="24"/>
          <w:u w:val="single"/>
          <w:vertAlign w:val="superscript"/>
        </w:rPr>
        <w:t>+</w:t>
      </w:r>
      <w:r w:rsidR="008B4326" w:rsidRPr="0081657E">
        <w:rPr>
          <w:rFonts w:ascii="Times New Roman" w:hAnsi="Times New Roman" w:cs="Times New Roman"/>
          <w:b/>
          <w:bCs/>
          <w:i/>
          <w:iCs/>
          <w:sz w:val="24"/>
          <w:szCs w:val="24"/>
          <w:u w:val="single"/>
        </w:rPr>
        <w:t>)</w:t>
      </w:r>
    </w:p>
    <w:p w:rsidR="00365FC7" w:rsidRDefault="00364B90" w:rsidP="00FD483B">
      <w:pPr>
        <w:spacing w:after="0" w:line="360" w:lineRule="auto"/>
        <w:ind w:firstLine="567"/>
        <w:jc w:val="both"/>
        <w:rPr>
          <w:rFonts w:asciiTheme="majorBidi" w:hAnsiTheme="majorBidi" w:cstheme="majorBidi"/>
          <w:sz w:val="24"/>
          <w:szCs w:val="24"/>
        </w:rPr>
      </w:pPr>
      <w:r w:rsidRPr="00DF5225">
        <w:rPr>
          <w:rFonts w:asciiTheme="majorBidi" w:hAnsiTheme="majorBidi" w:cstheme="majorBidi"/>
          <w:sz w:val="24"/>
          <w:szCs w:val="24"/>
        </w:rPr>
        <w:t>Avant d’aborder cette partie d’activation, il nous a semblé utile de présenter un aperçu sur le phénomène d’activation acide et de son effet sur les propriétés interfaciales et intercristallines.</w:t>
      </w:r>
      <w:r>
        <w:rPr>
          <w:rFonts w:asciiTheme="majorBidi" w:hAnsiTheme="majorBidi" w:cstheme="majorBidi"/>
          <w:sz w:val="24"/>
          <w:szCs w:val="24"/>
        </w:rPr>
        <w:t xml:space="preserve"> Une</w:t>
      </w:r>
      <w:r w:rsidRPr="00364B90">
        <w:rPr>
          <w:rFonts w:asciiTheme="majorBidi" w:hAnsiTheme="majorBidi" w:cstheme="majorBidi"/>
          <w:sz w:val="24"/>
          <w:szCs w:val="24"/>
        </w:rPr>
        <w:t xml:space="preserve"> </w:t>
      </w:r>
      <w:r w:rsidRPr="00DF5225">
        <w:rPr>
          <w:rFonts w:asciiTheme="majorBidi" w:hAnsiTheme="majorBidi" w:cstheme="majorBidi"/>
          <w:sz w:val="24"/>
          <w:szCs w:val="24"/>
        </w:rPr>
        <w:t>amélioration de la capacité d’échange</w:t>
      </w:r>
      <w:r>
        <w:rPr>
          <w:rFonts w:asciiTheme="majorBidi" w:hAnsiTheme="majorBidi" w:cstheme="majorBidi"/>
          <w:sz w:val="24"/>
          <w:szCs w:val="24"/>
        </w:rPr>
        <w:t xml:space="preserve"> des montmorillonites acidifiées </w:t>
      </w:r>
      <w:r w:rsidR="00900B72">
        <w:rPr>
          <w:rFonts w:asciiTheme="majorBidi" w:hAnsiTheme="majorBidi" w:cstheme="majorBidi"/>
          <w:sz w:val="24"/>
          <w:szCs w:val="24"/>
        </w:rPr>
        <w:t>est du</w:t>
      </w:r>
      <w:r w:rsidR="00900B72" w:rsidRPr="00DF5225">
        <w:rPr>
          <w:rFonts w:asciiTheme="majorBidi" w:hAnsiTheme="majorBidi" w:cstheme="majorBidi"/>
          <w:sz w:val="24"/>
          <w:szCs w:val="24"/>
        </w:rPr>
        <w:t>e</w:t>
      </w:r>
      <w:r w:rsidRPr="00DF5225">
        <w:rPr>
          <w:rFonts w:asciiTheme="majorBidi" w:hAnsiTheme="majorBidi" w:cstheme="majorBidi"/>
          <w:sz w:val="24"/>
          <w:szCs w:val="24"/>
        </w:rPr>
        <w:t xml:space="preserve"> essentiellement à l’impureté, ces dernières</w:t>
      </w:r>
      <w:r>
        <w:rPr>
          <w:rFonts w:asciiTheme="majorBidi" w:hAnsiTheme="majorBidi" w:cstheme="majorBidi"/>
          <w:sz w:val="24"/>
          <w:szCs w:val="24"/>
        </w:rPr>
        <w:t xml:space="preserve"> sont remplacées par les ions H</w:t>
      </w:r>
      <w:r w:rsidRPr="00DF5225">
        <w:rPr>
          <w:rFonts w:asciiTheme="majorBidi" w:hAnsiTheme="majorBidi" w:cstheme="majorBidi"/>
          <w:sz w:val="24"/>
          <w:szCs w:val="24"/>
          <w:vertAlign w:val="superscript"/>
        </w:rPr>
        <w:t>+</w:t>
      </w:r>
      <w:r w:rsidRPr="00DF5225">
        <w:rPr>
          <w:rFonts w:asciiTheme="majorBidi" w:hAnsiTheme="majorBidi" w:cstheme="majorBidi"/>
          <w:sz w:val="24"/>
          <w:szCs w:val="24"/>
        </w:rPr>
        <w:t xml:space="preserve"> qui interviennent dans la capacité d’échange cationique.</w:t>
      </w:r>
      <w:r w:rsidRPr="00364B90">
        <w:rPr>
          <w:rFonts w:asciiTheme="majorBidi" w:hAnsiTheme="majorBidi" w:cstheme="majorBidi"/>
          <w:sz w:val="24"/>
          <w:szCs w:val="24"/>
        </w:rPr>
        <w:t xml:space="preserve"> </w:t>
      </w:r>
      <w:r w:rsidRPr="00DF5225">
        <w:rPr>
          <w:rFonts w:asciiTheme="majorBidi" w:hAnsiTheme="majorBidi" w:cstheme="majorBidi"/>
          <w:sz w:val="24"/>
          <w:szCs w:val="24"/>
        </w:rPr>
        <w:t>La surface spécifique augmente, lors de l’attaque acide</w:t>
      </w:r>
      <w:r w:rsidR="00365FC7">
        <w:rPr>
          <w:rFonts w:asciiTheme="majorBidi" w:hAnsiTheme="majorBidi" w:cstheme="majorBidi"/>
          <w:sz w:val="24"/>
          <w:szCs w:val="24"/>
        </w:rPr>
        <w:t xml:space="preserve">. </w:t>
      </w:r>
    </w:p>
    <w:p w:rsidR="006651B3" w:rsidRPr="006651B3" w:rsidRDefault="006651B3" w:rsidP="00FD483B">
      <w:pPr>
        <w:spacing w:after="0" w:line="360" w:lineRule="auto"/>
        <w:ind w:firstLine="284"/>
        <w:jc w:val="both"/>
        <w:rPr>
          <w:rFonts w:ascii="Times New Roman" w:hAnsi="Times New Roman" w:cs="Times New Roman"/>
          <w:i/>
          <w:iCs/>
          <w:sz w:val="24"/>
          <w:szCs w:val="24"/>
        </w:rPr>
      </w:pPr>
      <w:r w:rsidRPr="006651B3">
        <w:rPr>
          <w:rFonts w:ascii="Times New Roman" w:hAnsi="Times New Roman" w:cs="Times New Roman"/>
          <w:i/>
          <w:iCs/>
          <w:sz w:val="24"/>
          <w:szCs w:val="24"/>
        </w:rPr>
        <w:t xml:space="preserve">Protocole d’activation par acide : </w:t>
      </w:r>
    </w:p>
    <w:p w:rsidR="00B728A2" w:rsidRPr="006651B3" w:rsidRDefault="000079B8" w:rsidP="00FD483B">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w:t>
      </w:r>
      <w:r w:rsidR="006651B3">
        <w:rPr>
          <w:rFonts w:ascii="Times New Roman" w:hAnsi="Times New Roman" w:cs="Times New Roman"/>
          <w:sz w:val="24"/>
          <w:szCs w:val="24"/>
        </w:rPr>
        <w:t>ans un ballon tricol muni d’un réfrigérant, nous introduisons 4g de bentonite sédimenté dans une solution de 400 mL en HCl (1M) et on chauffe à 80°C pendant 4 h sous agitation après refroidissement la suspension est laissé sous agitation pendant 24 h.</w:t>
      </w:r>
      <w:r w:rsidR="00F205F1">
        <w:rPr>
          <w:rFonts w:ascii="Times New Roman" w:hAnsi="Times New Roman" w:cs="Times New Roman"/>
          <w:sz w:val="24"/>
          <w:szCs w:val="24"/>
        </w:rPr>
        <w:t xml:space="preserve"> Après plusieurs lavages avec l’eau distillée, puis séchage dans l’étuve, l’argile acidifiée est calcinée à 250 °C penda</w:t>
      </w:r>
      <w:r w:rsidR="00365FC7">
        <w:rPr>
          <w:rFonts w:ascii="Times New Roman" w:hAnsi="Times New Roman" w:cs="Times New Roman"/>
          <w:sz w:val="24"/>
          <w:szCs w:val="24"/>
        </w:rPr>
        <w:t xml:space="preserve">nt </w:t>
      </w:r>
      <w:r w:rsidR="006651B3">
        <w:rPr>
          <w:rFonts w:ascii="Times New Roman" w:hAnsi="Times New Roman" w:cs="Times New Roman"/>
          <w:sz w:val="24"/>
          <w:szCs w:val="24"/>
        </w:rPr>
        <w:t>2</w:t>
      </w:r>
      <w:r w:rsidR="00365FC7">
        <w:rPr>
          <w:rFonts w:ascii="Times New Roman" w:hAnsi="Times New Roman" w:cs="Times New Roman"/>
          <w:sz w:val="24"/>
          <w:szCs w:val="24"/>
        </w:rPr>
        <w:t xml:space="preserve"> h</w:t>
      </w:r>
      <w:r w:rsidR="00F205F1">
        <w:rPr>
          <w:rFonts w:ascii="Times New Roman" w:hAnsi="Times New Roman" w:cs="Times New Roman"/>
          <w:sz w:val="24"/>
          <w:szCs w:val="24"/>
        </w:rPr>
        <w:t xml:space="preserve">. Nous </w:t>
      </w:r>
      <w:r w:rsidR="00F205F1">
        <w:rPr>
          <w:rFonts w:ascii="Times New Roman" w:hAnsi="Times New Roman" w:cs="Times New Roman"/>
          <w:sz w:val="24"/>
          <w:szCs w:val="24"/>
        </w:rPr>
        <w:lastRenderedPageBreak/>
        <w:t xml:space="preserve">la symboliserons dans la suite de cette étude par  </w:t>
      </w:r>
      <w:r w:rsidR="00F205F1" w:rsidRPr="0025402F">
        <w:rPr>
          <w:rFonts w:ascii="Times New Roman" w:hAnsi="Times New Roman" w:cs="Times New Roman"/>
          <w:b/>
          <w:bCs/>
          <w:i/>
          <w:iCs/>
          <w:sz w:val="24"/>
          <w:szCs w:val="24"/>
        </w:rPr>
        <w:t>Mont-Na</w:t>
      </w:r>
      <w:r w:rsidR="00F205F1" w:rsidRPr="0025402F">
        <w:rPr>
          <w:rFonts w:ascii="Times New Roman" w:hAnsi="Times New Roman" w:cs="Times New Roman"/>
          <w:b/>
          <w:bCs/>
          <w:i/>
          <w:iCs/>
          <w:sz w:val="24"/>
          <w:szCs w:val="24"/>
          <w:vertAlign w:val="superscript"/>
        </w:rPr>
        <w:t>+</w:t>
      </w:r>
      <w:r w:rsidR="00F205F1">
        <w:rPr>
          <w:rFonts w:ascii="Times New Roman" w:hAnsi="Times New Roman" w:cs="Times New Roman"/>
          <w:b/>
          <w:bCs/>
          <w:i/>
          <w:iCs/>
          <w:sz w:val="24"/>
          <w:szCs w:val="24"/>
          <w:vertAlign w:val="superscript"/>
        </w:rPr>
        <w:t xml:space="preserve"> </w:t>
      </w:r>
      <w:r w:rsidR="00F205F1" w:rsidRPr="00137498">
        <w:rPr>
          <w:rFonts w:ascii="Times New Roman" w:hAnsi="Times New Roman" w:cs="Times New Roman"/>
          <w:sz w:val="24"/>
          <w:szCs w:val="24"/>
        </w:rPr>
        <w:t>(argile sodé</w:t>
      </w:r>
      <w:r w:rsidR="00F205F1">
        <w:rPr>
          <w:rFonts w:ascii="Times New Roman" w:hAnsi="Times New Roman" w:cs="Times New Roman"/>
          <w:sz w:val="24"/>
          <w:szCs w:val="24"/>
        </w:rPr>
        <w:t>e</w:t>
      </w:r>
      <w:r w:rsidR="00F205F1" w:rsidRPr="00137498">
        <w:rPr>
          <w:rFonts w:ascii="Times New Roman" w:hAnsi="Times New Roman" w:cs="Times New Roman"/>
          <w:sz w:val="24"/>
          <w:szCs w:val="24"/>
        </w:rPr>
        <w:t>)</w:t>
      </w:r>
      <w:r w:rsidR="00F205F1" w:rsidRPr="0025402F">
        <w:rPr>
          <w:rFonts w:ascii="Times New Roman" w:hAnsi="Times New Roman" w:cs="Times New Roman"/>
          <w:sz w:val="24"/>
          <w:szCs w:val="24"/>
          <w:vertAlign w:val="superscript"/>
        </w:rPr>
        <w:t xml:space="preserve"> </w:t>
      </w:r>
      <w:r w:rsidR="00F205F1" w:rsidRPr="0025402F">
        <w:rPr>
          <w:rFonts w:ascii="Times New Roman" w:hAnsi="Times New Roman" w:cs="Times New Roman"/>
          <w:sz w:val="24"/>
          <w:szCs w:val="24"/>
        </w:rPr>
        <w:t xml:space="preserve">et </w:t>
      </w:r>
      <w:r w:rsidR="00F205F1" w:rsidRPr="0025402F">
        <w:rPr>
          <w:rFonts w:ascii="Times New Roman" w:hAnsi="Times New Roman" w:cs="Times New Roman"/>
          <w:b/>
          <w:bCs/>
          <w:i/>
          <w:iCs/>
          <w:sz w:val="24"/>
          <w:szCs w:val="24"/>
        </w:rPr>
        <w:t>Mont-H</w:t>
      </w:r>
      <w:r w:rsidR="00F205F1" w:rsidRPr="0025402F">
        <w:rPr>
          <w:rFonts w:ascii="Times New Roman" w:hAnsi="Times New Roman" w:cs="Times New Roman"/>
          <w:b/>
          <w:bCs/>
          <w:i/>
          <w:iCs/>
          <w:sz w:val="24"/>
          <w:szCs w:val="24"/>
          <w:vertAlign w:val="superscript"/>
        </w:rPr>
        <w:t>+</w:t>
      </w:r>
      <w:r w:rsidR="00F205F1">
        <w:rPr>
          <w:rFonts w:ascii="Times New Roman" w:hAnsi="Times New Roman" w:cs="Times New Roman"/>
          <w:sz w:val="24"/>
          <w:szCs w:val="24"/>
        </w:rPr>
        <w:t xml:space="preserve"> (argile acidifiée).</w:t>
      </w:r>
    </w:p>
    <w:p w:rsidR="00C91983" w:rsidRPr="00742DCE" w:rsidRDefault="008B4326" w:rsidP="00FD483B">
      <w:pPr>
        <w:spacing w:after="0" w:line="360" w:lineRule="auto"/>
        <w:ind w:firstLine="567"/>
        <w:jc w:val="both"/>
        <w:rPr>
          <w:rFonts w:ascii="Times New Roman" w:hAnsi="Times New Roman" w:cs="Times New Roman"/>
          <w:color w:val="FF0000"/>
          <w:sz w:val="24"/>
          <w:szCs w:val="24"/>
        </w:rPr>
      </w:pPr>
      <w:r w:rsidRPr="0081657E">
        <w:rPr>
          <w:rFonts w:asciiTheme="majorBidi" w:hAnsiTheme="majorBidi" w:cstheme="majorBidi"/>
          <w:b/>
          <w:bCs/>
          <w:i/>
          <w:iCs/>
          <w:color w:val="000000"/>
          <w:sz w:val="24"/>
          <w:szCs w:val="24"/>
          <w:u w:val="single"/>
        </w:rPr>
        <w:t>1.4.</w:t>
      </w:r>
      <w:r w:rsidR="00F205F1" w:rsidRPr="0081657E">
        <w:rPr>
          <w:rFonts w:asciiTheme="majorBidi" w:hAnsiTheme="majorBidi" w:cstheme="majorBidi"/>
          <w:b/>
          <w:bCs/>
          <w:i/>
          <w:iCs/>
          <w:color w:val="000000"/>
          <w:sz w:val="24"/>
          <w:szCs w:val="24"/>
          <w:u w:val="single"/>
        </w:rPr>
        <w:t xml:space="preserve"> Préparation des argiles pontées au titane par l’hydrolyse de Ti(OC</w:t>
      </w:r>
      <w:r w:rsidR="00F205F1" w:rsidRPr="0081657E">
        <w:rPr>
          <w:rFonts w:asciiTheme="majorBidi" w:hAnsiTheme="majorBidi" w:cstheme="majorBidi"/>
          <w:b/>
          <w:bCs/>
          <w:i/>
          <w:iCs/>
          <w:color w:val="000000"/>
          <w:sz w:val="24"/>
          <w:szCs w:val="24"/>
          <w:u w:val="single"/>
          <w:vertAlign w:val="subscript"/>
        </w:rPr>
        <w:t>3</w:t>
      </w:r>
      <w:r w:rsidR="00F205F1" w:rsidRPr="0081657E">
        <w:rPr>
          <w:rFonts w:asciiTheme="majorBidi" w:hAnsiTheme="majorBidi" w:cstheme="majorBidi"/>
          <w:b/>
          <w:bCs/>
          <w:i/>
          <w:iCs/>
          <w:color w:val="000000"/>
          <w:sz w:val="24"/>
          <w:szCs w:val="24"/>
          <w:u w:val="single"/>
        </w:rPr>
        <w:t>H</w:t>
      </w:r>
      <w:r w:rsidR="00F205F1" w:rsidRPr="0081657E">
        <w:rPr>
          <w:rFonts w:asciiTheme="majorBidi" w:hAnsiTheme="majorBidi" w:cstheme="majorBidi"/>
          <w:b/>
          <w:bCs/>
          <w:i/>
          <w:iCs/>
          <w:color w:val="000000"/>
          <w:sz w:val="24"/>
          <w:szCs w:val="24"/>
          <w:u w:val="single"/>
          <w:vertAlign w:val="subscript"/>
        </w:rPr>
        <w:t>7</w:t>
      </w:r>
      <w:r w:rsidR="00F205F1" w:rsidRPr="0081657E">
        <w:rPr>
          <w:rFonts w:asciiTheme="majorBidi" w:hAnsiTheme="majorBidi" w:cstheme="majorBidi"/>
          <w:b/>
          <w:bCs/>
          <w:i/>
          <w:iCs/>
          <w:color w:val="000000"/>
          <w:sz w:val="24"/>
          <w:szCs w:val="24"/>
          <w:u w:val="single"/>
        </w:rPr>
        <w:t>)</w:t>
      </w:r>
      <w:r w:rsidR="00F205F1" w:rsidRPr="0081657E">
        <w:rPr>
          <w:rFonts w:asciiTheme="majorBidi" w:hAnsiTheme="majorBidi" w:cstheme="majorBidi"/>
          <w:b/>
          <w:bCs/>
          <w:i/>
          <w:iCs/>
          <w:color w:val="000000"/>
          <w:sz w:val="24"/>
          <w:szCs w:val="24"/>
          <w:u w:val="single"/>
          <w:vertAlign w:val="subscript"/>
        </w:rPr>
        <w:t xml:space="preserve">4 </w:t>
      </w:r>
      <w:r w:rsidR="00F205F1" w:rsidRPr="0081657E">
        <w:rPr>
          <w:rFonts w:asciiTheme="majorBidi" w:hAnsiTheme="majorBidi" w:cstheme="majorBidi"/>
          <w:b/>
          <w:bCs/>
          <w:i/>
          <w:iCs/>
          <w:color w:val="000000"/>
          <w:sz w:val="24"/>
          <w:szCs w:val="24"/>
          <w:u w:val="single"/>
        </w:rPr>
        <w:t>avec deux acides précurseurs HCl et H</w:t>
      </w:r>
      <w:r w:rsidR="00F205F1" w:rsidRPr="0081657E">
        <w:rPr>
          <w:rFonts w:asciiTheme="majorBidi" w:hAnsiTheme="majorBidi" w:cstheme="majorBidi"/>
          <w:b/>
          <w:bCs/>
          <w:i/>
          <w:iCs/>
          <w:color w:val="000000"/>
          <w:sz w:val="24"/>
          <w:szCs w:val="24"/>
          <w:u w:val="single"/>
          <w:vertAlign w:val="subscript"/>
        </w:rPr>
        <w:t>2</w:t>
      </w:r>
      <w:r w:rsidR="00F205F1" w:rsidRPr="0081657E">
        <w:rPr>
          <w:rFonts w:asciiTheme="majorBidi" w:hAnsiTheme="majorBidi" w:cstheme="majorBidi"/>
          <w:b/>
          <w:bCs/>
          <w:i/>
          <w:iCs/>
          <w:color w:val="000000"/>
          <w:sz w:val="24"/>
          <w:szCs w:val="24"/>
          <w:u w:val="single"/>
        </w:rPr>
        <w:t>SO</w:t>
      </w:r>
      <w:r w:rsidR="00F205F1" w:rsidRPr="0081657E">
        <w:rPr>
          <w:rFonts w:asciiTheme="majorBidi" w:hAnsiTheme="majorBidi" w:cstheme="majorBidi"/>
          <w:b/>
          <w:bCs/>
          <w:i/>
          <w:iCs/>
          <w:color w:val="000000"/>
          <w:sz w:val="24"/>
          <w:szCs w:val="24"/>
          <w:u w:val="single"/>
          <w:vertAlign w:val="subscript"/>
        </w:rPr>
        <w:t>4</w:t>
      </w:r>
      <w:r w:rsidR="00742DCE" w:rsidRPr="0081657E">
        <w:rPr>
          <w:rFonts w:asciiTheme="majorBidi" w:hAnsiTheme="majorBidi" w:cstheme="majorBidi"/>
          <w:b/>
          <w:bCs/>
          <w:i/>
          <w:iCs/>
          <w:color w:val="000000"/>
          <w:sz w:val="24"/>
          <w:szCs w:val="24"/>
          <w:u w:val="single"/>
        </w:rPr>
        <w:t xml:space="preserve"> </w:t>
      </w:r>
      <w:r w:rsidR="00742DCE">
        <w:rPr>
          <w:rFonts w:asciiTheme="majorBidi" w:hAnsiTheme="majorBidi" w:cstheme="majorBidi"/>
          <w:b/>
          <w:bCs/>
          <w:i/>
          <w:iCs/>
          <w:color w:val="000000"/>
          <w:sz w:val="24"/>
          <w:szCs w:val="24"/>
        </w:rPr>
        <w:t xml:space="preserve">   </w:t>
      </w:r>
    </w:p>
    <w:p w:rsidR="004A3BEA" w:rsidRDefault="00F205F1" w:rsidP="00FD483B">
      <w:pPr>
        <w:spacing w:after="0" w:line="360" w:lineRule="auto"/>
        <w:ind w:firstLine="567"/>
        <w:jc w:val="both"/>
        <w:rPr>
          <w:rFonts w:asciiTheme="majorBidi" w:hAnsiTheme="majorBidi" w:cstheme="majorBidi"/>
          <w:sz w:val="24"/>
          <w:szCs w:val="24"/>
        </w:rPr>
      </w:pPr>
      <w:r w:rsidRPr="00F93C34">
        <w:rPr>
          <w:rFonts w:asciiTheme="majorBidi" w:hAnsiTheme="majorBidi" w:cstheme="majorBidi"/>
          <w:sz w:val="24"/>
          <w:szCs w:val="24"/>
        </w:rPr>
        <w:t>La solution à piliers est préparée  en ajoutant goutte à goutte  le  Ti(OC</w:t>
      </w:r>
      <w:r w:rsidRPr="00F93C34">
        <w:rPr>
          <w:rFonts w:asciiTheme="majorBidi" w:hAnsiTheme="majorBidi" w:cstheme="majorBidi"/>
          <w:sz w:val="24"/>
          <w:szCs w:val="24"/>
          <w:vertAlign w:val="subscript"/>
        </w:rPr>
        <w:t>3</w:t>
      </w:r>
      <w:r w:rsidRPr="00F93C34">
        <w:rPr>
          <w:rFonts w:asciiTheme="majorBidi" w:hAnsiTheme="majorBidi" w:cstheme="majorBidi"/>
          <w:sz w:val="24"/>
          <w:szCs w:val="24"/>
        </w:rPr>
        <w:t>H</w:t>
      </w:r>
      <w:r w:rsidRPr="00F93C34">
        <w:rPr>
          <w:rFonts w:asciiTheme="majorBidi" w:hAnsiTheme="majorBidi" w:cstheme="majorBidi"/>
          <w:sz w:val="24"/>
          <w:szCs w:val="24"/>
          <w:vertAlign w:val="subscript"/>
        </w:rPr>
        <w:t>7</w:t>
      </w:r>
      <w:r w:rsidRPr="00F93C34">
        <w:rPr>
          <w:rFonts w:asciiTheme="majorBidi" w:hAnsiTheme="majorBidi" w:cstheme="majorBidi"/>
          <w:sz w:val="24"/>
          <w:szCs w:val="24"/>
        </w:rPr>
        <w:t>)</w:t>
      </w:r>
      <w:r w:rsidRPr="00F93C34">
        <w:rPr>
          <w:rFonts w:asciiTheme="majorBidi" w:hAnsiTheme="majorBidi" w:cstheme="majorBidi"/>
          <w:sz w:val="24"/>
          <w:szCs w:val="24"/>
          <w:vertAlign w:val="subscript"/>
        </w:rPr>
        <w:t>4</w:t>
      </w:r>
      <w:r w:rsidRPr="00F93C34">
        <w:rPr>
          <w:rFonts w:asciiTheme="majorBidi" w:hAnsiTheme="majorBidi" w:cstheme="majorBidi"/>
          <w:sz w:val="24"/>
          <w:szCs w:val="24"/>
        </w:rPr>
        <w:t xml:space="preserve">  à une solution de (HCl  ou H</w:t>
      </w:r>
      <w:r w:rsidRPr="00F93C34">
        <w:rPr>
          <w:rFonts w:asciiTheme="majorBidi" w:hAnsiTheme="majorBidi" w:cstheme="majorBidi"/>
          <w:sz w:val="24"/>
          <w:szCs w:val="24"/>
          <w:vertAlign w:val="subscript"/>
        </w:rPr>
        <w:t>2</w:t>
      </w:r>
      <w:r w:rsidRPr="00F93C34">
        <w:rPr>
          <w:rFonts w:asciiTheme="majorBidi" w:hAnsiTheme="majorBidi" w:cstheme="majorBidi"/>
          <w:sz w:val="24"/>
          <w:szCs w:val="24"/>
        </w:rPr>
        <w:t>SO</w:t>
      </w:r>
      <w:r w:rsidRPr="00F93C34">
        <w:rPr>
          <w:rFonts w:asciiTheme="majorBidi" w:hAnsiTheme="majorBidi" w:cstheme="majorBidi"/>
          <w:sz w:val="24"/>
          <w:szCs w:val="24"/>
          <w:vertAlign w:val="subscript"/>
        </w:rPr>
        <w:t>4)</w:t>
      </w:r>
      <w:r w:rsidRPr="00F93C34">
        <w:rPr>
          <w:rFonts w:asciiTheme="majorBidi" w:hAnsiTheme="majorBidi" w:cstheme="majorBidi"/>
          <w:sz w:val="24"/>
          <w:szCs w:val="24"/>
        </w:rPr>
        <w:t xml:space="preserve"> (6M)  sous agitation forte. A ce mélange  on ajoute de l’eau distillée de manière à obtenir une concentration finale en titane de 0,25 M et en HCl ou H</w:t>
      </w:r>
      <w:r w:rsidRPr="00F93C34">
        <w:rPr>
          <w:rFonts w:asciiTheme="majorBidi" w:hAnsiTheme="majorBidi" w:cstheme="majorBidi"/>
          <w:sz w:val="24"/>
          <w:szCs w:val="24"/>
          <w:vertAlign w:val="subscript"/>
        </w:rPr>
        <w:t>2</w:t>
      </w:r>
      <w:r w:rsidRPr="00F93C34">
        <w:rPr>
          <w:rFonts w:asciiTheme="majorBidi" w:hAnsiTheme="majorBidi" w:cstheme="majorBidi"/>
          <w:sz w:val="24"/>
          <w:szCs w:val="24"/>
        </w:rPr>
        <w:t>SO</w:t>
      </w:r>
      <w:r w:rsidRPr="00F93C34">
        <w:rPr>
          <w:rFonts w:asciiTheme="majorBidi" w:hAnsiTheme="majorBidi" w:cstheme="majorBidi"/>
          <w:sz w:val="24"/>
          <w:szCs w:val="24"/>
          <w:vertAlign w:val="subscript"/>
        </w:rPr>
        <w:t xml:space="preserve">4 </w:t>
      </w:r>
      <w:r w:rsidRPr="00F93C34">
        <w:rPr>
          <w:rFonts w:asciiTheme="majorBidi" w:hAnsiTheme="majorBidi" w:cstheme="majorBidi"/>
          <w:sz w:val="24"/>
          <w:szCs w:val="24"/>
        </w:rPr>
        <w:t xml:space="preserve">de 1 M, </w:t>
      </w:r>
      <w:r w:rsidR="008B4326" w:rsidRPr="00F93C34">
        <w:rPr>
          <w:rFonts w:asciiTheme="majorBidi" w:hAnsiTheme="majorBidi" w:cstheme="majorBidi"/>
          <w:sz w:val="24"/>
          <w:szCs w:val="24"/>
        </w:rPr>
        <w:t xml:space="preserve">et </w:t>
      </w:r>
      <w:r w:rsidRPr="00F93C34">
        <w:rPr>
          <w:rFonts w:asciiTheme="majorBidi" w:hAnsiTheme="majorBidi" w:cstheme="majorBidi"/>
          <w:sz w:val="24"/>
          <w:szCs w:val="24"/>
        </w:rPr>
        <w:t>un rapport H</w:t>
      </w:r>
      <w:r w:rsidRPr="00F93C34">
        <w:rPr>
          <w:rFonts w:asciiTheme="majorBidi" w:hAnsiTheme="majorBidi" w:cstheme="majorBidi"/>
          <w:sz w:val="24"/>
          <w:szCs w:val="24"/>
          <w:vertAlign w:val="superscript"/>
        </w:rPr>
        <w:t>+</w:t>
      </w:r>
      <w:r w:rsidR="00A82506">
        <w:rPr>
          <w:rFonts w:asciiTheme="majorBidi" w:hAnsiTheme="majorBidi" w:cstheme="majorBidi"/>
          <w:sz w:val="24"/>
          <w:szCs w:val="24"/>
        </w:rPr>
        <w:t xml:space="preserve">/Ti = </w:t>
      </w:r>
      <w:r w:rsidRPr="00F93C34">
        <w:rPr>
          <w:rFonts w:asciiTheme="majorBidi" w:hAnsiTheme="majorBidi" w:cstheme="majorBidi"/>
          <w:sz w:val="24"/>
          <w:szCs w:val="24"/>
        </w:rPr>
        <w:t>4 est ainsi obtenu. Ces solutions à piliers sont laissées vieillir durant 1 h, ensuite</w:t>
      </w:r>
      <w:r w:rsidR="00A82506">
        <w:rPr>
          <w:rFonts w:asciiTheme="majorBidi" w:hAnsiTheme="majorBidi" w:cstheme="majorBidi"/>
          <w:sz w:val="24"/>
          <w:szCs w:val="24"/>
        </w:rPr>
        <w:t xml:space="preserve"> une quantité de cette solution est ajoutée goutte à goutte à une suspension argileuse de 2 g d’argile dans 300 mL d’eau distillé afin d’obtenir 10mmol Ti/1g d’argile</w:t>
      </w:r>
      <w:r w:rsidRPr="00F93C34">
        <w:rPr>
          <w:rFonts w:asciiTheme="majorBidi" w:hAnsiTheme="majorBidi" w:cstheme="majorBidi"/>
          <w:sz w:val="24"/>
          <w:szCs w:val="24"/>
        </w:rPr>
        <w:t>. Après 24 h d’agitation, les fractions solides sont séparées par centrifugation, ensuite lavées plusieurs fois avec l’eau distillée  jusqu'à l’élimination des ions chlorures</w:t>
      </w:r>
      <w:r w:rsidRPr="00F93C34">
        <w:rPr>
          <w:rFonts w:asciiTheme="majorBidi" w:hAnsiTheme="majorBidi" w:cstheme="majorBidi"/>
          <w:sz w:val="24"/>
          <w:szCs w:val="24"/>
          <w:vertAlign w:val="superscript"/>
        </w:rPr>
        <w:t xml:space="preserve">  </w:t>
      </w:r>
      <w:r w:rsidR="008B4326" w:rsidRPr="00F93C34">
        <w:rPr>
          <w:rFonts w:asciiTheme="majorBidi" w:hAnsiTheme="majorBidi" w:cstheme="majorBidi"/>
          <w:sz w:val="24"/>
          <w:szCs w:val="24"/>
        </w:rPr>
        <w:t>et sulfates puis</w:t>
      </w:r>
      <w:r w:rsidRPr="00F93C34">
        <w:rPr>
          <w:rFonts w:asciiTheme="majorBidi" w:hAnsiTheme="majorBidi" w:cstheme="majorBidi"/>
          <w:sz w:val="24"/>
          <w:szCs w:val="24"/>
        </w:rPr>
        <w:t xml:space="preserve"> séchés à une température de 80 °C. </w:t>
      </w:r>
      <w:r w:rsidR="00A82506">
        <w:rPr>
          <w:rFonts w:asciiTheme="majorBidi" w:hAnsiTheme="majorBidi" w:cstheme="majorBidi"/>
          <w:sz w:val="24"/>
          <w:szCs w:val="24"/>
        </w:rPr>
        <w:t xml:space="preserve">Les solides séchées </w:t>
      </w:r>
      <w:r w:rsidRPr="00F93C34">
        <w:rPr>
          <w:rFonts w:asciiTheme="majorBidi" w:hAnsiTheme="majorBidi" w:cstheme="majorBidi"/>
          <w:sz w:val="24"/>
          <w:szCs w:val="24"/>
        </w:rPr>
        <w:t xml:space="preserve">sont calcinées sous air  à </w:t>
      </w:r>
      <w:r w:rsidR="008B4326" w:rsidRPr="00F93C34">
        <w:rPr>
          <w:rFonts w:asciiTheme="majorBidi" w:hAnsiTheme="majorBidi" w:cstheme="majorBidi"/>
          <w:sz w:val="24"/>
          <w:szCs w:val="24"/>
        </w:rPr>
        <w:t>4</w:t>
      </w:r>
      <w:r w:rsidRPr="00F93C34">
        <w:rPr>
          <w:rFonts w:asciiTheme="majorBidi" w:hAnsiTheme="majorBidi" w:cstheme="majorBidi"/>
          <w:sz w:val="24"/>
          <w:szCs w:val="24"/>
        </w:rPr>
        <w:t>00 °C pendant 3 h avec une montée de  température de 3 °C/min.</w:t>
      </w:r>
      <w:r w:rsidR="004A3BEA" w:rsidRPr="004A3BEA">
        <w:rPr>
          <w:rFonts w:asciiTheme="majorBidi" w:hAnsiTheme="majorBidi" w:cstheme="majorBidi"/>
          <w:sz w:val="24"/>
          <w:szCs w:val="24"/>
        </w:rPr>
        <w:t xml:space="preserve"> </w:t>
      </w:r>
      <w:r w:rsidR="004A3BEA">
        <w:rPr>
          <w:rFonts w:asciiTheme="majorBidi" w:hAnsiTheme="majorBidi" w:cstheme="majorBidi"/>
          <w:sz w:val="24"/>
          <w:szCs w:val="24"/>
        </w:rPr>
        <w:t>Ainsi  quatre supports sont préparés, nous les symboliserons comme suite :</w:t>
      </w:r>
    </w:p>
    <w:tbl>
      <w:tblPr>
        <w:tblStyle w:val="Grilledutableau"/>
        <w:tblpPr w:leftFromText="141" w:rightFromText="141" w:vertAnchor="text" w:horzAnchor="margin" w:tblpXSpec="center" w:tblpY="84"/>
        <w:tblW w:w="0" w:type="auto"/>
        <w:tblLook w:val="04A0"/>
      </w:tblPr>
      <w:tblGrid>
        <w:gridCol w:w="2303"/>
        <w:gridCol w:w="2303"/>
        <w:gridCol w:w="2303"/>
        <w:gridCol w:w="2303"/>
      </w:tblGrid>
      <w:tr w:rsidR="00A90324" w:rsidRPr="00A90324" w:rsidTr="00A90324">
        <w:tc>
          <w:tcPr>
            <w:tcW w:w="2303" w:type="dxa"/>
          </w:tcPr>
          <w:p w:rsidR="00A90324" w:rsidRPr="00A90324" w:rsidRDefault="00A90324" w:rsidP="00FD483B">
            <w:pPr>
              <w:spacing w:line="360" w:lineRule="auto"/>
              <w:jc w:val="both"/>
              <w:rPr>
                <w:rFonts w:ascii="Times New Roman" w:hAnsi="Times New Roman" w:cs="Times New Roman"/>
                <w:sz w:val="20"/>
                <w:szCs w:val="20"/>
              </w:rPr>
            </w:pPr>
            <w:r w:rsidRPr="00A90324">
              <w:rPr>
                <w:rFonts w:ascii="Times New Roman" w:hAnsi="Times New Roman" w:cs="Times New Roman"/>
                <w:sz w:val="20"/>
                <w:szCs w:val="20"/>
              </w:rPr>
              <w:t>Argile sodée et pontée en présence de HCl</w:t>
            </w:r>
          </w:p>
        </w:tc>
        <w:tc>
          <w:tcPr>
            <w:tcW w:w="2303" w:type="dxa"/>
          </w:tcPr>
          <w:p w:rsidR="00A90324" w:rsidRPr="00A90324" w:rsidRDefault="00A90324" w:rsidP="00FD483B">
            <w:pPr>
              <w:spacing w:line="360" w:lineRule="auto"/>
              <w:jc w:val="both"/>
              <w:rPr>
                <w:rFonts w:ascii="Times New Roman" w:hAnsi="Times New Roman" w:cs="Times New Roman"/>
                <w:sz w:val="20"/>
                <w:szCs w:val="20"/>
              </w:rPr>
            </w:pPr>
            <w:r w:rsidRPr="00A90324">
              <w:rPr>
                <w:rFonts w:ascii="Times New Roman" w:hAnsi="Times New Roman" w:cs="Times New Roman"/>
                <w:sz w:val="20"/>
                <w:szCs w:val="20"/>
              </w:rPr>
              <w:t>Argile sodée et pontée en présence de H</w:t>
            </w:r>
            <w:r w:rsidRPr="00A90324">
              <w:rPr>
                <w:rFonts w:ascii="Times New Roman" w:hAnsi="Times New Roman" w:cs="Times New Roman"/>
                <w:sz w:val="20"/>
                <w:szCs w:val="20"/>
                <w:vertAlign w:val="subscript"/>
              </w:rPr>
              <w:t>2</w:t>
            </w:r>
            <w:r w:rsidRPr="00A90324">
              <w:rPr>
                <w:rFonts w:ascii="Times New Roman" w:hAnsi="Times New Roman" w:cs="Times New Roman"/>
                <w:sz w:val="20"/>
                <w:szCs w:val="20"/>
              </w:rPr>
              <w:t>SO</w:t>
            </w:r>
            <w:r w:rsidRPr="00A90324">
              <w:rPr>
                <w:rFonts w:ascii="Times New Roman" w:hAnsi="Times New Roman" w:cs="Times New Roman"/>
                <w:sz w:val="20"/>
                <w:szCs w:val="20"/>
                <w:vertAlign w:val="subscript"/>
              </w:rPr>
              <w:t>4</w:t>
            </w:r>
          </w:p>
        </w:tc>
        <w:tc>
          <w:tcPr>
            <w:tcW w:w="2303" w:type="dxa"/>
          </w:tcPr>
          <w:p w:rsidR="00A90324" w:rsidRPr="00A90324" w:rsidRDefault="00A90324" w:rsidP="00FD483B">
            <w:pPr>
              <w:spacing w:line="360" w:lineRule="auto"/>
              <w:jc w:val="both"/>
              <w:rPr>
                <w:rFonts w:ascii="Times New Roman" w:hAnsi="Times New Roman" w:cs="Times New Roman"/>
                <w:sz w:val="20"/>
                <w:szCs w:val="20"/>
              </w:rPr>
            </w:pPr>
            <w:r w:rsidRPr="00A90324">
              <w:rPr>
                <w:rFonts w:ascii="Times New Roman" w:hAnsi="Times New Roman" w:cs="Times New Roman"/>
                <w:sz w:val="20"/>
                <w:szCs w:val="20"/>
              </w:rPr>
              <w:t>Argile acidifiée et pontée en présence de HCl</w:t>
            </w:r>
          </w:p>
        </w:tc>
        <w:tc>
          <w:tcPr>
            <w:tcW w:w="2303" w:type="dxa"/>
          </w:tcPr>
          <w:p w:rsidR="00A90324" w:rsidRPr="00A90324" w:rsidRDefault="00A90324" w:rsidP="00FD483B">
            <w:pPr>
              <w:spacing w:line="360" w:lineRule="auto"/>
              <w:jc w:val="both"/>
              <w:rPr>
                <w:rFonts w:ascii="Times New Roman" w:hAnsi="Times New Roman" w:cs="Times New Roman"/>
                <w:sz w:val="20"/>
                <w:szCs w:val="20"/>
              </w:rPr>
            </w:pPr>
            <w:r w:rsidRPr="00A90324">
              <w:rPr>
                <w:rFonts w:ascii="Times New Roman" w:hAnsi="Times New Roman" w:cs="Times New Roman"/>
                <w:sz w:val="20"/>
                <w:szCs w:val="20"/>
              </w:rPr>
              <w:t>Argile acidifiée et pontée en présence de H</w:t>
            </w:r>
            <w:r w:rsidRPr="00A90324">
              <w:rPr>
                <w:rFonts w:ascii="Times New Roman" w:hAnsi="Times New Roman" w:cs="Times New Roman"/>
                <w:sz w:val="20"/>
                <w:szCs w:val="20"/>
                <w:vertAlign w:val="subscript"/>
              </w:rPr>
              <w:t>2</w:t>
            </w:r>
            <w:r w:rsidRPr="00A90324">
              <w:rPr>
                <w:rFonts w:ascii="Times New Roman" w:hAnsi="Times New Roman" w:cs="Times New Roman"/>
                <w:sz w:val="20"/>
                <w:szCs w:val="20"/>
              </w:rPr>
              <w:t>SO</w:t>
            </w:r>
            <w:r w:rsidRPr="00A90324">
              <w:rPr>
                <w:rFonts w:ascii="Times New Roman" w:hAnsi="Times New Roman" w:cs="Times New Roman"/>
                <w:sz w:val="20"/>
                <w:szCs w:val="20"/>
                <w:vertAlign w:val="subscript"/>
              </w:rPr>
              <w:t>4</w:t>
            </w:r>
          </w:p>
        </w:tc>
      </w:tr>
      <w:tr w:rsidR="00A90324" w:rsidRPr="00A90324" w:rsidTr="00A90324">
        <w:tc>
          <w:tcPr>
            <w:tcW w:w="2303" w:type="dxa"/>
          </w:tcPr>
          <w:p w:rsidR="00A90324" w:rsidRPr="00A90324" w:rsidRDefault="00A90324" w:rsidP="00FD483B">
            <w:pPr>
              <w:spacing w:line="360" w:lineRule="auto"/>
              <w:jc w:val="both"/>
              <w:rPr>
                <w:rFonts w:ascii="Times New Roman" w:hAnsi="Times New Roman" w:cs="Times New Roman"/>
                <w:b/>
                <w:bCs/>
                <w:i/>
                <w:iCs/>
                <w:sz w:val="20"/>
                <w:szCs w:val="20"/>
              </w:rPr>
            </w:pPr>
            <w:r w:rsidRPr="00A90324">
              <w:rPr>
                <w:rFonts w:ascii="Times New Roman" w:hAnsi="Times New Roman" w:cs="Times New Roman"/>
                <w:b/>
                <w:bCs/>
                <w:i/>
                <w:iCs/>
                <w:sz w:val="20"/>
                <w:szCs w:val="20"/>
              </w:rPr>
              <w:t>PILC (Na-HCl)</w:t>
            </w:r>
          </w:p>
        </w:tc>
        <w:tc>
          <w:tcPr>
            <w:tcW w:w="2303" w:type="dxa"/>
          </w:tcPr>
          <w:p w:rsidR="00A90324" w:rsidRPr="00A90324" w:rsidRDefault="00A90324" w:rsidP="00FD483B">
            <w:pPr>
              <w:spacing w:line="360" w:lineRule="auto"/>
              <w:jc w:val="both"/>
              <w:rPr>
                <w:rFonts w:ascii="Times New Roman" w:hAnsi="Times New Roman" w:cs="Times New Roman"/>
                <w:b/>
                <w:bCs/>
                <w:i/>
                <w:iCs/>
                <w:sz w:val="20"/>
                <w:szCs w:val="20"/>
              </w:rPr>
            </w:pPr>
            <w:r w:rsidRPr="00A90324">
              <w:rPr>
                <w:rFonts w:ascii="Times New Roman" w:hAnsi="Times New Roman" w:cs="Times New Roman"/>
                <w:b/>
                <w:bCs/>
                <w:i/>
                <w:iCs/>
                <w:sz w:val="20"/>
                <w:szCs w:val="20"/>
              </w:rPr>
              <w:t>PILC (Na- H</w:t>
            </w:r>
            <w:r w:rsidRPr="00A90324">
              <w:rPr>
                <w:rFonts w:ascii="Times New Roman" w:hAnsi="Times New Roman" w:cs="Times New Roman"/>
                <w:b/>
                <w:bCs/>
                <w:i/>
                <w:iCs/>
                <w:sz w:val="20"/>
                <w:szCs w:val="20"/>
                <w:vertAlign w:val="subscript"/>
              </w:rPr>
              <w:t>2</w:t>
            </w:r>
            <w:r w:rsidRPr="00A90324">
              <w:rPr>
                <w:rFonts w:ascii="Times New Roman" w:hAnsi="Times New Roman" w:cs="Times New Roman"/>
                <w:b/>
                <w:bCs/>
                <w:i/>
                <w:iCs/>
                <w:sz w:val="20"/>
                <w:szCs w:val="20"/>
              </w:rPr>
              <w:t>SO</w:t>
            </w:r>
            <w:r w:rsidRPr="00A90324">
              <w:rPr>
                <w:rFonts w:ascii="Times New Roman" w:hAnsi="Times New Roman" w:cs="Times New Roman"/>
                <w:b/>
                <w:bCs/>
                <w:i/>
                <w:iCs/>
                <w:sz w:val="20"/>
                <w:szCs w:val="20"/>
                <w:vertAlign w:val="subscript"/>
              </w:rPr>
              <w:t>4</w:t>
            </w:r>
            <w:r w:rsidRPr="00A90324">
              <w:rPr>
                <w:rFonts w:ascii="Times New Roman" w:hAnsi="Times New Roman" w:cs="Times New Roman"/>
                <w:b/>
                <w:bCs/>
                <w:i/>
                <w:iCs/>
                <w:sz w:val="20"/>
                <w:szCs w:val="20"/>
              </w:rPr>
              <w:t>)</w:t>
            </w:r>
          </w:p>
        </w:tc>
        <w:tc>
          <w:tcPr>
            <w:tcW w:w="2303" w:type="dxa"/>
          </w:tcPr>
          <w:p w:rsidR="00A90324" w:rsidRPr="00A90324" w:rsidRDefault="00A90324" w:rsidP="00FD483B">
            <w:pPr>
              <w:spacing w:line="360" w:lineRule="auto"/>
              <w:jc w:val="both"/>
              <w:rPr>
                <w:rFonts w:ascii="Times New Roman" w:hAnsi="Times New Roman" w:cs="Times New Roman"/>
                <w:b/>
                <w:bCs/>
                <w:i/>
                <w:iCs/>
                <w:sz w:val="20"/>
                <w:szCs w:val="20"/>
              </w:rPr>
            </w:pPr>
            <w:r w:rsidRPr="00A90324">
              <w:rPr>
                <w:rFonts w:ascii="Times New Roman" w:hAnsi="Times New Roman" w:cs="Times New Roman"/>
                <w:b/>
                <w:bCs/>
                <w:i/>
                <w:iCs/>
                <w:sz w:val="20"/>
                <w:szCs w:val="20"/>
              </w:rPr>
              <w:t>PILC (H-HCl)</w:t>
            </w:r>
          </w:p>
        </w:tc>
        <w:tc>
          <w:tcPr>
            <w:tcW w:w="2303" w:type="dxa"/>
          </w:tcPr>
          <w:p w:rsidR="00A90324" w:rsidRPr="00A90324" w:rsidRDefault="00A90324" w:rsidP="00FD483B">
            <w:pPr>
              <w:spacing w:line="360" w:lineRule="auto"/>
              <w:jc w:val="both"/>
              <w:rPr>
                <w:rFonts w:ascii="Times New Roman" w:hAnsi="Times New Roman" w:cs="Times New Roman"/>
                <w:b/>
                <w:bCs/>
                <w:i/>
                <w:iCs/>
                <w:sz w:val="20"/>
                <w:szCs w:val="20"/>
              </w:rPr>
            </w:pPr>
            <w:r w:rsidRPr="00A90324">
              <w:rPr>
                <w:rFonts w:ascii="Times New Roman" w:hAnsi="Times New Roman" w:cs="Times New Roman"/>
                <w:b/>
                <w:bCs/>
                <w:i/>
                <w:iCs/>
                <w:sz w:val="20"/>
                <w:szCs w:val="20"/>
              </w:rPr>
              <w:t>PILC (H- H</w:t>
            </w:r>
            <w:r w:rsidRPr="00A90324">
              <w:rPr>
                <w:rFonts w:ascii="Times New Roman" w:hAnsi="Times New Roman" w:cs="Times New Roman"/>
                <w:b/>
                <w:bCs/>
                <w:i/>
                <w:iCs/>
                <w:sz w:val="20"/>
                <w:szCs w:val="20"/>
                <w:vertAlign w:val="subscript"/>
              </w:rPr>
              <w:t>2</w:t>
            </w:r>
            <w:r w:rsidRPr="00A90324">
              <w:rPr>
                <w:rFonts w:ascii="Times New Roman" w:hAnsi="Times New Roman" w:cs="Times New Roman"/>
                <w:b/>
                <w:bCs/>
                <w:i/>
                <w:iCs/>
                <w:sz w:val="20"/>
                <w:szCs w:val="20"/>
              </w:rPr>
              <w:t>SO</w:t>
            </w:r>
            <w:r w:rsidRPr="00A90324">
              <w:rPr>
                <w:rFonts w:ascii="Times New Roman" w:hAnsi="Times New Roman" w:cs="Times New Roman"/>
                <w:b/>
                <w:bCs/>
                <w:i/>
                <w:iCs/>
                <w:sz w:val="20"/>
                <w:szCs w:val="20"/>
                <w:vertAlign w:val="subscript"/>
              </w:rPr>
              <w:t>4</w:t>
            </w:r>
            <w:r w:rsidRPr="00A90324">
              <w:rPr>
                <w:rFonts w:ascii="Times New Roman" w:hAnsi="Times New Roman" w:cs="Times New Roman"/>
                <w:b/>
                <w:bCs/>
                <w:i/>
                <w:iCs/>
                <w:sz w:val="20"/>
                <w:szCs w:val="20"/>
              </w:rPr>
              <w:t>)</w:t>
            </w:r>
          </w:p>
        </w:tc>
      </w:tr>
    </w:tbl>
    <w:p w:rsidR="00A82506" w:rsidRDefault="00A82506" w:rsidP="00FD483B">
      <w:pPr>
        <w:spacing w:after="0" w:line="360" w:lineRule="auto"/>
        <w:jc w:val="both"/>
        <w:rPr>
          <w:rFonts w:asciiTheme="majorBidi" w:hAnsiTheme="majorBidi" w:cstheme="majorBidi"/>
          <w:b/>
          <w:bCs/>
          <w:i/>
          <w:iCs/>
          <w:color w:val="000000"/>
          <w:sz w:val="24"/>
          <w:szCs w:val="24"/>
        </w:rPr>
      </w:pPr>
    </w:p>
    <w:p w:rsidR="008B4326" w:rsidRPr="0081657E" w:rsidRDefault="008B4326" w:rsidP="00FD483B">
      <w:pPr>
        <w:spacing w:after="0" w:line="360" w:lineRule="auto"/>
        <w:ind w:firstLine="284"/>
        <w:jc w:val="both"/>
        <w:rPr>
          <w:rFonts w:asciiTheme="majorBidi" w:hAnsiTheme="majorBidi" w:cstheme="majorBidi"/>
          <w:b/>
          <w:bCs/>
          <w:i/>
          <w:iCs/>
          <w:color w:val="C00000"/>
          <w:sz w:val="24"/>
          <w:szCs w:val="24"/>
        </w:rPr>
      </w:pPr>
      <w:r w:rsidRPr="0081657E">
        <w:rPr>
          <w:rFonts w:asciiTheme="majorBidi" w:hAnsiTheme="majorBidi" w:cstheme="majorBidi"/>
          <w:b/>
          <w:bCs/>
          <w:i/>
          <w:iCs/>
          <w:color w:val="C00000"/>
          <w:sz w:val="24"/>
          <w:szCs w:val="24"/>
        </w:rPr>
        <w:t>2. Imprégnation du vanadium sur les argiles pontées au titane (V/Ti-PILC)</w:t>
      </w:r>
    </w:p>
    <w:p w:rsidR="004A3BEA" w:rsidRPr="00B728A2" w:rsidRDefault="00F205F1" w:rsidP="00FD483B">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 </w:t>
      </w:r>
      <w:r w:rsidRPr="00982A18">
        <w:rPr>
          <w:rFonts w:asciiTheme="majorBidi" w:hAnsiTheme="majorBidi" w:cstheme="majorBidi"/>
          <w:sz w:val="24"/>
          <w:szCs w:val="24"/>
        </w:rPr>
        <w:t>Le</w:t>
      </w:r>
      <w:r w:rsidR="004849FC">
        <w:rPr>
          <w:rFonts w:asciiTheme="majorBidi" w:hAnsiTheme="majorBidi" w:cstheme="majorBidi"/>
          <w:sz w:val="24"/>
          <w:szCs w:val="24"/>
        </w:rPr>
        <w:t>s</w:t>
      </w:r>
      <w:r w:rsidRPr="00982A18">
        <w:rPr>
          <w:rFonts w:asciiTheme="majorBidi" w:hAnsiTheme="majorBidi" w:cstheme="majorBidi"/>
          <w:sz w:val="24"/>
          <w:szCs w:val="24"/>
        </w:rPr>
        <w:t xml:space="preserve"> matériau</w:t>
      </w:r>
      <w:r w:rsidR="004849FC">
        <w:rPr>
          <w:rFonts w:asciiTheme="majorBidi" w:hAnsiTheme="majorBidi" w:cstheme="majorBidi"/>
          <w:sz w:val="24"/>
          <w:szCs w:val="24"/>
        </w:rPr>
        <w:t>x</w:t>
      </w:r>
      <w:r w:rsidRPr="00982A18">
        <w:rPr>
          <w:rFonts w:asciiTheme="majorBidi" w:hAnsiTheme="majorBidi" w:cstheme="majorBidi"/>
          <w:sz w:val="24"/>
          <w:szCs w:val="24"/>
        </w:rPr>
        <w:t xml:space="preserve"> contenant  5</w:t>
      </w:r>
      <w:r w:rsidR="002C5437">
        <w:rPr>
          <w:rFonts w:asciiTheme="majorBidi" w:hAnsiTheme="majorBidi" w:cstheme="majorBidi"/>
          <w:sz w:val="24"/>
          <w:szCs w:val="24"/>
        </w:rPr>
        <w:t xml:space="preserve"> % de vanadium sont</w:t>
      </w:r>
      <w:r>
        <w:rPr>
          <w:rFonts w:asciiTheme="majorBidi" w:hAnsiTheme="majorBidi" w:cstheme="majorBidi"/>
          <w:sz w:val="24"/>
          <w:szCs w:val="24"/>
        </w:rPr>
        <w:t xml:space="preserve"> préparé</w:t>
      </w:r>
      <w:r w:rsidR="002C5437">
        <w:rPr>
          <w:rFonts w:asciiTheme="majorBidi" w:hAnsiTheme="majorBidi" w:cstheme="majorBidi"/>
          <w:sz w:val="24"/>
          <w:szCs w:val="24"/>
        </w:rPr>
        <w:t>s</w:t>
      </w:r>
      <w:r>
        <w:rPr>
          <w:rFonts w:asciiTheme="majorBidi" w:hAnsiTheme="majorBidi" w:cstheme="majorBidi"/>
          <w:sz w:val="24"/>
          <w:szCs w:val="24"/>
        </w:rPr>
        <w:t xml:space="preserve"> à </w:t>
      </w:r>
      <w:r w:rsidRPr="00982A18">
        <w:rPr>
          <w:rFonts w:asciiTheme="majorBidi" w:hAnsiTheme="majorBidi" w:cstheme="majorBidi"/>
          <w:sz w:val="24"/>
          <w:szCs w:val="24"/>
        </w:rPr>
        <w:t>températu</w:t>
      </w:r>
      <w:r>
        <w:rPr>
          <w:rFonts w:asciiTheme="majorBidi" w:hAnsiTheme="majorBidi" w:cstheme="majorBidi"/>
          <w:sz w:val="24"/>
          <w:szCs w:val="24"/>
        </w:rPr>
        <w:t>re ambiante sous une agitation f</w:t>
      </w:r>
      <w:r w:rsidRPr="00982A18">
        <w:rPr>
          <w:rFonts w:asciiTheme="majorBidi" w:hAnsiTheme="majorBidi" w:cstheme="majorBidi"/>
          <w:sz w:val="24"/>
          <w:szCs w:val="24"/>
        </w:rPr>
        <w:t xml:space="preserve">orte par  le biais d’une imprégnation à voix humide de la montmorillonite intercalée </w:t>
      </w:r>
      <w:r>
        <w:rPr>
          <w:rFonts w:asciiTheme="majorBidi" w:hAnsiTheme="majorBidi" w:cstheme="majorBidi"/>
          <w:sz w:val="24"/>
          <w:szCs w:val="24"/>
        </w:rPr>
        <w:t>au</w:t>
      </w:r>
      <w:r w:rsidRPr="00982A18">
        <w:rPr>
          <w:rFonts w:asciiTheme="majorBidi" w:hAnsiTheme="majorBidi" w:cstheme="majorBidi"/>
          <w:sz w:val="24"/>
          <w:szCs w:val="24"/>
        </w:rPr>
        <w:t xml:space="preserve"> titane en tant que support avec la quantité appropriée du métavanadate d’ammonium  </w:t>
      </w:r>
      <w:r w:rsidRPr="00982A18">
        <w:rPr>
          <w:rFonts w:asciiTheme="majorBidi" w:hAnsiTheme="majorBidi" w:cstheme="majorBidi"/>
          <w:i/>
          <w:iCs/>
          <w:sz w:val="24"/>
          <w:szCs w:val="24"/>
        </w:rPr>
        <w:t>NH</w:t>
      </w:r>
      <w:r w:rsidRPr="00982A18">
        <w:rPr>
          <w:rFonts w:asciiTheme="majorBidi" w:hAnsiTheme="majorBidi" w:cstheme="majorBidi"/>
          <w:i/>
          <w:iCs/>
          <w:sz w:val="24"/>
          <w:szCs w:val="24"/>
          <w:vertAlign w:val="subscript"/>
        </w:rPr>
        <w:t>4</w:t>
      </w:r>
      <w:r w:rsidRPr="00982A18">
        <w:rPr>
          <w:rFonts w:asciiTheme="majorBidi" w:hAnsiTheme="majorBidi" w:cstheme="majorBidi"/>
          <w:i/>
          <w:iCs/>
          <w:sz w:val="24"/>
          <w:szCs w:val="24"/>
        </w:rPr>
        <w:t>VO</w:t>
      </w:r>
      <w:r w:rsidRPr="00982A18">
        <w:rPr>
          <w:rFonts w:asciiTheme="majorBidi" w:hAnsiTheme="majorBidi" w:cstheme="majorBidi"/>
          <w:i/>
          <w:iCs/>
          <w:sz w:val="24"/>
          <w:szCs w:val="24"/>
          <w:vertAlign w:val="subscript"/>
        </w:rPr>
        <w:t>3</w:t>
      </w:r>
      <w:r w:rsidR="002C5437">
        <w:rPr>
          <w:rFonts w:asciiTheme="majorBidi" w:hAnsiTheme="majorBidi" w:cstheme="majorBidi"/>
          <w:sz w:val="24"/>
          <w:szCs w:val="24"/>
        </w:rPr>
        <w:t xml:space="preserve"> dissout</w:t>
      </w:r>
      <w:r w:rsidRPr="00982A18">
        <w:rPr>
          <w:rFonts w:asciiTheme="majorBidi" w:hAnsiTheme="majorBidi" w:cstheme="majorBidi"/>
          <w:sz w:val="24"/>
          <w:szCs w:val="24"/>
        </w:rPr>
        <w:t xml:space="preserve"> dans l’acide oxalique (</w:t>
      </w:r>
      <w:smartTag w:uri="urn:schemas-microsoft-com:office:smarttags" w:element="metricconverter">
        <w:smartTagPr>
          <w:attr w:name="ProductID" w:val="0,1 M"/>
        </w:smartTagPr>
        <w:r w:rsidRPr="00982A18">
          <w:rPr>
            <w:rFonts w:asciiTheme="majorBidi" w:hAnsiTheme="majorBidi" w:cstheme="majorBidi"/>
            <w:sz w:val="24"/>
            <w:szCs w:val="24"/>
          </w:rPr>
          <w:t>0,1 M</w:t>
        </w:r>
      </w:smartTag>
      <w:r w:rsidRPr="00982A18">
        <w:rPr>
          <w:rFonts w:asciiTheme="majorBidi" w:hAnsiTheme="majorBidi" w:cstheme="majorBidi"/>
          <w:sz w:val="24"/>
          <w:szCs w:val="24"/>
        </w:rPr>
        <w:t>), en laissant  en contact pendant  24 h. Les échantillons</w:t>
      </w:r>
      <w:r>
        <w:rPr>
          <w:rFonts w:asciiTheme="majorBidi" w:hAnsiTheme="majorBidi" w:cstheme="majorBidi"/>
          <w:sz w:val="24"/>
          <w:szCs w:val="24"/>
        </w:rPr>
        <w:t xml:space="preserve"> sont séchés  à 80 °C pendant 24</w:t>
      </w:r>
      <w:r w:rsidRPr="00982A18">
        <w:rPr>
          <w:rFonts w:asciiTheme="majorBidi" w:hAnsiTheme="majorBidi" w:cstheme="majorBidi"/>
          <w:sz w:val="24"/>
          <w:szCs w:val="24"/>
        </w:rPr>
        <w:t xml:space="preserve"> h ensuite calciné  à 500 °C pendant 5 </w:t>
      </w:r>
      <w:r>
        <w:rPr>
          <w:rFonts w:asciiTheme="majorBidi" w:hAnsiTheme="majorBidi" w:cstheme="majorBidi"/>
          <w:sz w:val="24"/>
          <w:szCs w:val="24"/>
        </w:rPr>
        <w:t xml:space="preserve">h sous </w:t>
      </w:r>
      <w:r w:rsidRPr="00982A18">
        <w:rPr>
          <w:rFonts w:asciiTheme="majorBidi" w:hAnsiTheme="majorBidi" w:cstheme="majorBidi"/>
          <w:sz w:val="24"/>
          <w:szCs w:val="24"/>
        </w:rPr>
        <w:t>air.</w:t>
      </w:r>
    </w:p>
    <w:p w:rsidR="00F205F1" w:rsidRPr="0081657E" w:rsidRDefault="000C0A12" w:rsidP="00FD483B">
      <w:pPr>
        <w:spacing w:after="0" w:line="360" w:lineRule="auto"/>
        <w:ind w:firstLine="284"/>
        <w:jc w:val="both"/>
        <w:rPr>
          <w:rFonts w:asciiTheme="majorBidi" w:hAnsiTheme="majorBidi" w:cstheme="majorBidi"/>
          <w:color w:val="C00000"/>
          <w:sz w:val="24"/>
          <w:szCs w:val="24"/>
        </w:rPr>
      </w:pPr>
      <w:r w:rsidRPr="0081657E">
        <w:rPr>
          <w:rFonts w:asciiTheme="majorBidi" w:hAnsiTheme="majorBidi" w:cstheme="majorBidi"/>
          <w:b/>
          <w:bCs/>
          <w:i/>
          <w:iCs/>
          <w:color w:val="C00000"/>
          <w:sz w:val="24"/>
          <w:szCs w:val="24"/>
        </w:rPr>
        <w:t>3.</w:t>
      </w:r>
      <w:r w:rsidR="00F205F1" w:rsidRPr="0081657E">
        <w:rPr>
          <w:rFonts w:asciiTheme="majorBidi" w:hAnsiTheme="majorBidi" w:cstheme="majorBidi"/>
          <w:b/>
          <w:bCs/>
          <w:i/>
          <w:iCs/>
          <w:color w:val="C00000"/>
          <w:sz w:val="24"/>
          <w:szCs w:val="24"/>
        </w:rPr>
        <w:t xml:space="preserve"> Caractérisation  des catalyseurs à base vanadium supporté sur argile pontée au titane</w:t>
      </w:r>
    </w:p>
    <w:p w:rsidR="00F205F1" w:rsidRDefault="00F205F1" w:rsidP="00FD483B">
      <w:pPr>
        <w:spacing w:after="0" w:line="360" w:lineRule="auto"/>
        <w:ind w:firstLine="567"/>
        <w:jc w:val="both"/>
        <w:rPr>
          <w:rFonts w:asciiTheme="majorBidi" w:hAnsiTheme="majorBidi" w:cstheme="majorBidi"/>
          <w:sz w:val="24"/>
          <w:szCs w:val="24"/>
        </w:rPr>
      </w:pPr>
      <w:r w:rsidRPr="00982A18">
        <w:rPr>
          <w:rFonts w:asciiTheme="majorBidi" w:hAnsiTheme="majorBidi" w:cstheme="majorBidi"/>
          <w:sz w:val="24"/>
          <w:szCs w:val="24"/>
        </w:rPr>
        <w:t>Pour mieux comprendre les processus chimiques mis en jeu d</w:t>
      </w:r>
      <w:r>
        <w:rPr>
          <w:rFonts w:asciiTheme="majorBidi" w:hAnsiTheme="majorBidi" w:cstheme="majorBidi"/>
          <w:sz w:val="24"/>
          <w:szCs w:val="24"/>
        </w:rPr>
        <w:t>ans</w:t>
      </w:r>
      <w:r w:rsidRPr="00982A18">
        <w:rPr>
          <w:rFonts w:asciiTheme="majorBidi" w:hAnsiTheme="majorBidi" w:cstheme="majorBidi"/>
          <w:sz w:val="24"/>
          <w:szCs w:val="24"/>
        </w:rPr>
        <w:t xml:space="preserve"> une réaction catalytique donné</w:t>
      </w:r>
      <w:r>
        <w:rPr>
          <w:rFonts w:asciiTheme="majorBidi" w:hAnsiTheme="majorBidi" w:cstheme="majorBidi"/>
          <w:sz w:val="24"/>
          <w:szCs w:val="24"/>
        </w:rPr>
        <w:t>e</w:t>
      </w:r>
      <w:r w:rsidRPr="00982A18">
        <w:rPr>
          <w:rFonts w:asciiTheme="majorBidi" w:hAnsiTheme="majorBidi" w:cstheme="majorBidi"/>
          <w:sz w:val="24"/>
          <w:szCs w:val="24"/>
        </w:rPr>
        <w:t>, une connaissance des caractéristiques du catalyseur est nécessaire afin de suivre l’évolution des matériaux lors de leur synthèse</w:t>
      </w:r>
      <w:r>
        <w:rPr>
          <w:rFonts w:asciiTheme="majorBidi" w:hAnsiTheme="majorBidi" w:cstheme="majorBidi"/>
          <w:sz w:val="24"/>
          <w:szCs w:val="24"/>
        </w:rPr>
        <w:t>,</w:t>
      </w:r>
      <w:r w:rsidRPr="00982A18">
        <w:rPr>
          <w:rFonts w:asciiTheme="majorBidi" w:hAnsiTheme="majorBidi" w:cstheme="majorBidi"/>
          <w:sz w:val="24"/>
          <w:szCs w:val="24"/>
        </w:rPr>
        <w:t xml:space="preserve"> ceci implique des techniques comme : la diffraction des rayons X (DRX) </w:t>
      </w:r>
      <w:r>
        <w:rPr>
          <w:rFonts w:asciiTheme="majorBidi" w:hAnsiTheme="majorBidi" w:cstheme="majorBidi"/>
          <w:sz w:val="24"/>
          <w:szCs w:val="24"/>
        </w:rPr>
        <w:t>qui</w:t>
      </w:r>
      <w:r w:rsidRPr="00982A18">
        <w:rPr>
          <w:rFonts w:asciiTheme="majorBidi" w:hAnsiTheme="majorBidi" w:cstheme="majorBidi"/>
          <w:sz w:val="24"/>
          <w:szCs w:val="24"/>
        </w:rPr>
        <w:t xml:space="preserve"> permet de mettre en évidence les transformations structurales qu’a subit la MMT ; la physisorption d’azote à 77</w:t>
      </w:r>
      <w:r>
        <w:rPr>
          <w:rFonts w:asciiTheme="majorBidi" w:hAnsiTheme="majorBidi" w:cstheme="majorBidi"/>
          <w:sz w:val="24"/>
          <w:szCs w:val="24"/>
        </w:rPr>
        <w:t xml:space="preserve"> </w:t>
      </w:r>
      <w:r w:rsidRPr="00982A18">
        <w:rPr>
          <w:rFonts w:asciiTheme="majorBidi" w:hAnsiTheme="majorBidi" w:cstheme="majorBidi"/>
          <w:sz w:val="24"/>
          <w:szCs w:val="24"/>
        </w:rPr>
        <w:t xml:space="preserve">K qui </w:t>
      </w:r>
      <w:r>
        <w:rPr>
          <w:rFonts w:asciiTheme="majorBidi" w:hAnsiTheme="majorBidi" w:cstheme="majorBidi"/>
          <w:sz w:val="24"/>
          <w:szCs w:val="24"/>
        </w:rPr>
        <w:t xml:space="preserve">nous </w:t>
      </w:r>
      <w:r w:rsidRPr="00982A18">
        <w:rPr>
          <w:rFonts w:asciiTheme="majorBidi" w:hAnsiTheme="majorBidi" w:cstheme="majorBidi"/>
          <w:sz w:val="24"/>
          <w:szCs w:val="24"/>
        </w:rPr>
        <w:t>renseigne sur la surface spécifique ; la microscopie électronique à balayage (MEB) qui montre la morphologie interne, la structure cristalline des échantillons.</w:t>
      </w:r>
    </w:p>
    <w:p w:rsidR="00A90324" w:rsidRDefault="00A90324" w:rsidP="00FD483B">
      <w:pPr>
        <w:spacing w:after="0" w:line="360" w:lineRule="auto"/>
        <w:ind w:firstLine="567"/>
        <w:jc w:val="both"/>
        <w:rPr>
          <w:rFonts w:asciiTheme="majorBidi" w:hAnsiTheme="majorBidi" w:cstheme="majorBidi"/>
          <w:sz w:val="24"/>
          <w:szCs w:val="24"/>
        </w:rPr>
      </w:pPr>
    </w:p>
    <w:p w:rsidR="00A90324" w:rsidRDefault="00A90324" w:rsidP="00FD483B">
      <w:pPr>
        <w:spacing w:after="0" w:line="360" w:lineRule="auto"/>
        <w:ind w:firstLine="567"/>
        <w:jc w:val="both"/>
        <w:rPr>
          <w:rFonts w:asciiTheme="majorBidi" w:hAnsiTheme="majorBidi" w:cstheme="majorBidi"/>
          <w:sz w:val="24"/>
          <w:szCs w:val="24"/>
        </w:rPr>
      </w:pPr>
    </w:p>
    <w:p w:rsidR="00F205F1" w:rsidRPr="00C64066" w:rsidRDefault="000C0A12" w:rsidP="000F11FC">
      <w:pPr>
        <w:widowControl w:val="0"/>
        <w:autoSpaceDE w:val="0"/>
        <w:autoSpaceDN w:val="0"/>
        <w:adjustRightInd w:val="0"/>
        <w:spacing w:after="0" w:line="360" w:lineRule="auto"/>
        <w:ind w:firstLine="567"/>
        <w:jc w:val="both"/>
        <w:rPr>
          <w:rFonts w:asciiTheme="majorBidi" w:hAnsiTheme="majorBidi" w:cstheme="majorBidi"/>
          <w:b/>
          <w:bCs/>
          <w:i/>
          <w:iCs/>
          <w:color w:val="C00000"/>
          <w:sz w:val="24"/>
          <w:szCs w:val="24"/>
        </w:rPr>
      </w:pPr>
      <w:r w:rsidRPr="0081657E">
        <w:rPr>
          <w:rFonts w:asciiTheme="majorBidi" w:hAnsiTheme="majorBidi" w:cstheme="majorBidi"/>
          <w:b/>
          <w:bCs/>
          <w:i/>
          <w:iCs/>
          <w:color w:val="000000"/>
          <w:sz w:val="24"/>
          <w:szCs w:val="24"/>
          <w:u w:val="single"/>
        </w:rPr>
        <w:lastRenderedPageBreak/>
        <w:t>3.1.</w:t>
      </w:r>
      <w:r w:rsidR="005A248F" w:rsidRPr="0081657E">
        <w:rPr>
          <w:rFonts w:asciiTheme="majorBidi" w:hAnsiTheme="majorBidi" w:cstheme="majorBidi"/>
          <w:b/>
          <w:bCs/>
          <w:i/>
          <w:iCs/>
          <w:color w:val="000000"/>
          <w:sz w:val="24"/>
          <w:szCs w:val="24"/>
          <w:u w:val="single"/>
        </w:rPr>
        <w:t xml:space="preserve"> </w:t>
      </w:r>
      <w:r w:rsidR="00F205F1" w:rsidRPr="0081657E">
        <w:rPr>
          <w:rFonts w:asciiTheme="majorBidi" w:hAnsiTheme="majorBidi" w:cstheme="majorBidi"/>
          <w:b/>
          <w:bCs/>
          <w:i/>
          <w:iCs/>
          <w:color w:val="000000"/>
          <w:sz w:val="24"/>
          <w:szCs w:val="24"/>
          <w:u w:val="single"/>
        </w:rPr>
        <w:t>Capacité d’échange cationique (C.E.C)</w:t>
      </w:r>
      <w:r w:rsidR="0081657E">
        <w:rPr>
          <w:rFonts w:asciiTheme="majorBidi" w:hAnsiTheme="majorBidi" w:cstheme="majorBidi"/>
          <w:b/>
          <w:bCs/>
          <w:i/>
          <w:iCs/>
          <w:color w:val="000000"/>
          <w:sz w:val="24"/>
          <w:szCs w:val="24"/>
        </w:rPr>
        <w:t xml:space="preserve"> </w:t>
      </w:r>
    </w:p>
    <w:p w:rsidR="00F205F1" w:rsidRDefault="00F205F1" w:rsidP="00FD483B">
      <w:pPr>
        <w:spacing w:after="0" w:line="360" w:lineRule="auto"/>
        <w:ind w:firstLine="567"/>
        <w:jc w:val="both"/>
        <w:rPr>
          <w:rFonts w:asciiTheme="majorBidi" w:hAnsiTheme="majorBidi" w:cstheme="majorBidi"/>
          <w:sz w:val="24"/>
          <w:szCs w:val="24"/>
        </w:rPr>
      </w:pPr>
      <w:r w:rsidRPr="00982A18">
        <w:rPr>
          <w:rFonts w:asciiTheme="majorBidi" w:hAnsiTheme="majorBidi" w:cstheme="majorBidi"/>
          <w:sz w:val="24"/>
          <w:szCs w:val="24"/>
        </w:rPr>
        <w:t>Les cations compensateurs ont la propriété d’être échangeable par d’autres ; plus ils sont chargés, plus l’échange d’ions sera total dès le premier contact.</w:t>
      </w:r>
      <w:r>
        <w:rPr>
          <w:rFonts w:asciiTheme="majorBidi" w:hAnsiTheme="majorBidi" w:cstheme="majorBidi"/>
          <w:sz w:val="24"/>
          <w:szCs w:val="24"/>
        </w:rPr>
        <w:t xml:space="preserve"> </w:t>
      </w:r>
      <w:r w:rsidRPr="00982A18">
        <w:rPr>
          <w:rFonts w:asciiTheme="majorBidi" w:hAnsiTheme="majorBidi" w:cstheme="majorBidi"/>
          <w:sz w:val="24"/>
          <w:szCs w:val="24"/>
        </w:rPr>
        <w:t>Cette propriété est quantifiée par la C</w:t>
      </w:r>
      <w:r>
        <w:rPr>
          <w:rFonts w:asciiTheme="majorBidi" w:hAnsiTheme="majorBidi" w:cstheme="majorBidi"/>
          <w:sz w:val="24"/>
          <w:szCs w:val="24"/>
        </w:rPr>
        <w:t>.E.C, caractéristique</w:t>
      </w:r>
      <w:r w:rsidRPr="00982A18">
        <w:rPr>
          <w:rFonts w:asciiTheme="majorBidi" w:hAnsiTheme="majorBidi" w:cstheme="majorBidi"/>
          <w:sz w:val="24"/>
          <w:szCs w:val="24"/>
        </w:rPr>
        <w:t xml:space="preserve"> de chaque type d’argile</w:t>
      </w:r>
      <w:r>
        <w:rPr>
          <w:rFonts w:asciiTheme="majorBidi" w:hAnsiTheme="majorBidi" w:cstheme="majorBidi"/>
          <w:sz w:val="24"/>
          <w:szCs w:val="24"/>
        </w:rPr>
        <w:t xml:space="preserve">, </w:t>
      </w:r>
      <w:r w:rsidRPr="00982A18">
        <w:rPr>
          <w:rFonts w:asciiTheme="majorBidi" w:hAnsiTheme="majorBidi" w:cstheme="majorBidi"/>
          <w:sz w:val="24"/>
          <w:szCs w:val="24"/>
        </w:rPr>
        <w:t>elle s’exprime généralement en milliéquivalents de cations échangeable rapporté à 100</w:t>
      </w:r>
      <w:r>
        <w:rPr>
          <w:rFonts w:asciiTheme="majorBidi" w:hAnsiTheme="majorBidi" w:cstheme="majorBidi"/>
          <w:sz w:val="24"/>
          <w:szCs w:val="24"/>
        </w:rPr>
        <w:t xml:space="preserve"> </w:t>
      </w:r>
      <w:r w:rsidRPr="00982A18">
        <w:rPr>
          <w:rFonts w:asciiTheme="majorBidi" w:hAnsiTheme="majorBidi" w:cstheme="majorBidi"/>
          <w:sz w:val="24"/>
          <w:szCs w:val="24"/>
        </w:rPr>
        <w:t>g d’argile.</w:t>
      </w:r>
      <w:r>
        <w:rPr>
          <w:rFonts w:asciiTheme="majorBidi" w:hAnsiTheme="majorBidi" w:cstheme="majorBidi"/>
          <w:sz w:val="24"/>
          <w:szCs w:val="24"/>
        </w:rPr>
        <w:t xml:space="preserve"> </w:t>
      </w:r>
      <w:r w:rsidRPr="00982A18">
        <w:rPr>
          <w:rFonts w:asciiTheme="majorBidi" w:hAnsiTheme="majorBidi" w:cstheme="majorBidi"/>
          <w:sz w:val="24"/>
          <w:szCs w:val="24"/>
        </w:rPr>
        <w:t xml:space="preserve">L’agent de dosage utilisé est le chlorure de cobaltihexamine </w:t>
      </w:r>
      <w:r w:rsidR="00A82506">
        <w:rPr>
          <w:rFonts w:asciiTheme="majorBidi" w:hAnsiTheme="majorBidi" w:cstheme="majorBidi"/>
          <w:sz w:val="24"/>
          <w:szCs w:val="24"/>
        </w:rPr>
        <w:t>[</w:t>
      </w:r>
      <w:r w:rsidRPr="00982A18">
        <w:rPr>
          <w:rFonts w:asciiTheme="majorBidi" w:hAnsiTheme="majorBidi" w:cstheme="majorBidi"/>
          <w:sz w:val="24"/>
          <w:szCs w:val="24"/>
        </w:rPr>
        <w:t>(Cl</w:t>
      </w:r>
      <w:r w:rsidRPr="00982A18">
        <w:rPr>
          <w:rFonts w:asciiTheme="majorBidi" w:hAnsiTheme="majorBidi" w:cstheme="majorBidi"/>
          <w:sz w:val="24"/>
          <w:szCs w:val="24"/>
          <w:vertAlign w:val="subscript"/>
        </w:rPr>
        <w:t>3</w:t>
      </w:r>
      <w:r w:rsidRPr="00982A18">
        <w:rPr>
          <w:rFonts w:asciiTheme="majorBidi" w:hAnsiTheme="majorBidi" w:cstheme="majorBidi"/>
          <w:sz w:val="24"/>
          <w:szCs w:val="24"/>
        </w:rPr>
        <w:t>CO(NH</w:t>
      </w:r>
      <w:r w:rsidRPr="00982A18">
        <w:rPr>
          <w:rFonts w:asciiTheme="majorBidi" w:hAnsiTheme="majorBidi" w:cstheme="majorBidi"/>
          <w:sz w:val="24"/>
          <w:szCs w:val="24"/>
          <w:vertAlign w:val="subscript"/>
        </w:rPr>
        <w:t>3</w:t>
      </w:r>
      <w:r w:rsidRPr="00982A18">
        <w:rPr>
          <w:rFonts w:asciiTheme="majorBidi" w:hAnsiTheme="majorBidi" w:cstheme="majorBidi"/>
          <w:sz w:val="24"/>
          <w:szCs w:val="24"/>
        </w:rPr>
        <w:t>)</w:t>
      </w:r>
      <w:r w:rsidRPr="00982A18">
        <w:rPr>
          <w:rFonts w:asciiTheme="majorBidi" w:hAnsiTheme="majorBidi" w:cstheme="majorBidi"/>
          <w:sz w:val="24"/>
          <w:szCs w:val="24"/>
          <w:vertAlign w:val="subscript"/>
        </w:rPr>
        <w:t>6</w:t>
      </w:r>
      <w:r>
        <w:rPr>
          <w:rFonts w:asciiTheme="majorBidi" w:hAnsiTheme="majorBidi" w:cstheme="majorBidi"/>
          <w:sz w:val="24"/>
          <w:szCs w:val="24"/>
        </w:rPr>
        <w:t xml:space="preserve">], un sel jaune </w:t>
      </w:r>
      <w:r w:rsidRPr="00982A18">
        <w:rPr>
          <w:rFonts w:asciiTheme="majorBidi" w:hAnsiTheme="majorBidi" w:cstheme="majorBidi"/>
          <w:sz w:val="24"/>
          <w:szCs w:val="24"/>
        </w:rPr>
        <w:t>orangé dont les solutions aqueuses sont dosées par UV-Visible, à une longueur d’onde de 472</w:t>
      </w:r>
      <w:r>
        <w:rPr>
          <w:rFonts w:asciiTheme="majorBidi" w:hAnsiTheme="majorBidi" w:cstheme="majorBidi"/>
          <w:sz w:val="24"/>
          <w:szCs w:val="24"/>
        </w:rPr>
        <w:t xml:space="preserve"> </w:t>
      </w:r>
      <w:r w:rsidRPr="00982A18">
        <w:rPr>
          <w:rFonts w:asciiTheme="majorBidi" w:hAnsiTheme="majorBidi" w:cstheme="majorBidi"/>
          <w:sz w:val="24"/>
          <w:szCs w:val="24"/>
        </w:rPr>
        <w:t>nm ; en se référant à une solution étalon de 0</w:t>
      </w:r>
      <w:r>
        <w:rPr>
          <w:rFonts w:asciiTheme="majorBidi" w:hAnsiTheme="majorBidi" w:cstheme="majorBidi"/>
          <w:sz w:val="24"/>
          <w:szCs w:val="24"/>
        </w:rPr>
        <w:t>,</w:t>
      </w:r>
      <w:r w:rsidRPr="00982A18">
        <w:rPr>
          <w:rFonts w:asciiTheme="majorBidi" w:hAnsiTheme="majorBidi" w:cstheme="majorBidi"/>
          <w:sz w:val="24"/>
          <w:szCs w:val="24"/>
        </w:rPr>
        <w:t>05</w:t>
      </w:r>
      <w:r>
        <w:rPr>
          <w:rFonts w:asciiTheme="majorBidi" w:hAnsiTheme="majorBidi" w:cstheme="majorBidi"/>
          <w:sz w:val="24"/>
          <w:szCs w:val="24"/>
        </w:rPr>
        <w:t xml:space="preserve"> </w:t>
      </w:r>
      <w:r w:rsidRPr="00982A18">
        <w:rPr>
          <w:rFonts w:asciiTheme="majorBidi" w:hAnsiTheme="majorBidi" w:cstheme="majorBidi"/>
          <w:sz w:val="24"/>
          <w:szCs w:val="24"/>
        </w:rPr>
        <w:t>N.</w:t>
      </w:r>
    </w:p>
    <w:p w:rsidR="00F205F1" w:rsidRPr="00DA1C58" w:rsidRDefault="00F205F1" w:rsidP="00FD483B">
      <w:pPr>
        <w:spacing w:after="0" w:line="360" w:lineRule="auto"/>
        <w:jc w:val="both"/>
        <w:rPr>
          <w:rFonts w:asciiTheme="majorBidi" w:hAnsiTheme="majorBidi" w:cstheme="majorBidi"/>
          <w:sz w:val="24"/>
          <w:szCs w:val="24"/>
        </w:rPr>
      </w:pPr>
      <w:r w:rsidRPr="00DA1C58">
        <w:rPr>
          <w:rFonts w:asciiTheme="majorBidi" w:hAnsiTheme="majorBidi" w:cstheme="majorBidi"/>
          <w:sz w:val="24"/>
          <w:szCs w:val="24"/>
        </w:rPr>
        <w:t>Mode opératoire :</w:t>
      </w:r>
    </w:p>
    <w:p w:rsidR="00F205F1" w:rsidRPr="00DA1C58" w:rsidRDefault="00F205F1" w:rsidP="00FD483B">
      <w:pPr>
        <w:pStyle w:val="Paragraphedeliste"/>
        <w:numPr>
          <w:ilvl w:val="0"/>
          <w:numId w:val="2"/>
        </w:numPr>
        <w:ind w:left="284" w:firstLine="0"/>
        <w:rPr>
          <w:rFonts w:asciiTheme="majorBidi" w:hAnsiTheme="majorBidi" w:cstheme="majorBidi"/>
          <w:sz w:val="24"/>
          <w:szCs w:val="24"/>
        </w:rPr>
      </w:pPr>
      <w:r w:rsidRPr="00DA1C58">
        <w:rPr>
          <w:rFonts w:asciiTheme="majorBidi" w:hAnsiTheme="majorBidi" w:cstheme="majorBidi"/>
          <w:sz w:val="24"/>
          <w:szCs w:val="24"/>
        </w:rPr>
        <w:t>La solution étalon de chlorure de cobaltihexamine (0,05 N) est dosée au préalable, afin      d’avoir l’absorbance de référence A = 472</w:t>
      </w:r>
      <w:r w:rsidRPr="00DA1C58">
        <w:rPr>
          <w:rFonts w:asciiTheme="majorBidi" w:hAnsiTheme="majorBidi" w:cstheme="majorBidi"/>
          <w:sz w:val="24"/>
          <w:szCs w:val="24"/>
          <w:vertAlign w:val="subscript"/>
        </w:rPr>
        <w:t>e</w:t>
      </w:r>
    </w:p>
    <w:p w:rsidR="00F205F1" w:rsidRPr="00DA1C58" w:rsidRDefault="00F205F1" w:rsidP="00FD483B">
      <w:pPr>
        <w:pStyle w:val="Paragraphedeliste"/>
        <w:numPr>
          <w:ilvl w:val="0"/>
          <w:numId w:val="2"/>
        </w:numPr>
        <w:ind w:left="284" w:firstLine="0"/>
        <w:rPr>
          <w:rFonts w:asciiTheme="majorBidi" w:hAnsiTheme="majorBidi" w:cstheme="majorBidi"/>
          <w:sz w:val="24"/>
          <w:szCs w:val="24"/>
        </w:rPr>
      </w:pPr>
      <w:r w:rsidRPr="00DA1C58">
        <w:rPr>
          <w:rFonts w:asciiTheme="majorBidi" w:hAnsiTheme="majorBidi" w:cstheme="majorBidi"/>
          <w:sz w:val="24"/>
          <w:szCs w:val="24"/>
        </w:rPr>
        <w:t>2 g d’argile séchée est ajouté</w:t>
      </w:r>
      <w:r>
        <w:rPr>
          <w:rFonts w:asciiTheme="majorBidi" w:hAnsiTheme="majorBidi" w:cstheme="majorBidi"/>
          <w:sz w:val="24"/>
          <w:szCs w:val="24"/>
        </w:rPr>
        <w:t>e</w:t>
      </w:r>
      <w:r w:rsidRPr="00DA1C58">
        <w:rPr>
          <w:rFonts w:asciiTheme="majorBidi" w:hAnsiTheme="majorBidi" w:cstheme="majorBidi"/>
          <w:sz w:val="24"/>
          <w:szCs w:val="24"/>
        </w:rPr>
        <w:t xml:space="preserve"> à 40 m</w:t>
      </w:r>
      <w:r>
        <w:rPr>
          <w:rFonts w:asciiTheme="majorBidi" w:hAnsiTheme="majorBidi" w:cstheme="majorBidi"/>
          <w:sz w:val="24"/>
          <w:szCs w:val="24"/>
        </w:rPr>
        <w:t>L</w:t>
      </w:r>
      <w:r w:rsidRPr="00DA1C58">
        <w:rPr>
          <w:rFonts w:asciiTheme="majorBidi" w:hAnsiTheme="majorBidi" w:cstheme="majorBidi"/>
          <w:sz w:val="24"/>
          <w:szCs w:val="24"/>
        </w:rPr>
        <w:t xml:space="preserve"> de chlorure de cobaltihexamine (0,05 N)</w:t>
      </w:r>
    </w:p>
    <w:p w:rsidR="00F205F1" w:rsidRPr="00DA1C58" w:rsidRDefault="00F205F1" w:rsidP="00FD483B">
      <w:pPr>
        <w:pStyle w:val="Paragraphedeliste"/>
        <w:numPr>
          <w:ilvl w:val="0"/>
          <w:numId w:val="2"/>
        </w:numPr>
        <w:ind w:left="284" w:firstLine="0"/>
        <w:rPr>
          <w:rFonts w:asciiTheme="majorBidi" w:hAnsiTheme="majorBidi" w:cstheme="majorBidi"/>
          <w:sz w:val="24"/>
          <w:szCs w:val="24"/>
        </w:rPr>
      </w:pPr>
      <w:r w:rsidRPr="00DA1C58">
        <w:rPr>
          <w:rFonts w:asciiTheme="majorBidi" w:hAnsiTheme="majorBidi" w:cstheme="majorBidi"/>
          <w:sz w:val="24"/>
          <w:szCs w:val="24"/>
        </w:rPr>
        <w:t>Après un temps d’agitation de 1 h, la solution est filtrée puis dosée pour obtenir l’absorbance A</w:t>
      </w:r>
      <w:r>
        <w:rPr>
          <w:rFonts w:asciiTheme="majorBidi" w:hAnsiTheme="majorBidi" w:cstheme="majorBidi"/>
          <w:sz w:val="24"/>
          <w:szCs w:val="24"/>
        </w:rPr>
        <w:t xml:space="preserve">= </w:t>
      </w:r>
      <w:r w:rsidRPr="00DA1C58">
        <w:rPr>
          <w:rFonts w:asciiTheme="majorBidi" w:hAnsiTheme="majorBidi" w:cstheme="majorBidi"/>
          <w:sz w:val="24"/>
          <w:szCs w:val="24"/>
        </w:rPr>
        <w:t>472</w:t>
      </w:r>
      <w:r w:rsidRPr="00DA1C58">
        <w:rPr>
          <w:rFonts w:asciiTheme="majorBidi" w:hAnsiTheme="majorBidi" w:cstheme="majorBidi"/>
          <w:sz w:val="24"/>
          <w:szCs w:val="24"/>
          <w:vertAlign w:val="subscript"/>
        </w:rPr>
        <w:t>af</w:t>
      </w:r>
    </w:p>
    <w:p w:rsidR="00F205F1" w:rsidRPr="00DA1C58" w:rsidRDefault="00F205F1" w:rsidP="00FD483B">
      <w:pPr>
        <w:pStyle w:val="Paragraphedeliste"/>
        <w:numPr>
          <w:ilvl w:val="0"/>
          <w:numId w:val="2"/>
        </w:numPr>
        <w:ind w:left="284" w:firstLine="0"/>
        <w:rPr>
          <w:rFonts w:asciiTheme="majorBidi" w:hAnsiTheme="majorBidi" w:cstheme="majorBidi"/>
          <w:sz w:val="24"/>
          <w:szCs w:val="24"/>
        </w:rPr>
      </w:pPr>
      <w:r w:rsidRPr="00DA1C58">
        <w:rPr>
          <w:rFonts w:asciiTheme="majorBidi" w:hAnsiTheme="majorBidi" w:cstheme="majorBidi"/>
          <w:sz w:val="24"/>
          <w:szCs w:val="24"/>
        </w:rPr>
        <w:t xml:space="preserve">la </w:t>
      </w:r>
      <w:r w:rsidRPr="00DA1C58">
        <w:rPr>
          <w:rFonts w:asciiTheme="majorBidi" w:hAnsiTheme="majorBidi" w:cstheme="majorBidi"/>
          <w:b/>
          <w:bCs/>
          <w:i/>
          <w:iCs/>
          <w:sz w:val="24"/>
          <w:szCs w:val="24"/>
        </w:rPr>
        <w:t>Capacité d’échange cationique</w:t>
      </w:r>
      <w:r w:rsidRPr="00DA1C58">
        <w:rPr>
          <w:rFonts w:asciiTheme="majorBidi" w:hAnsiTheme="majorBidi" w:cstheme="majorBidi"/>
          <w:b/>
          <w:bCs/>
          <w:i/>
          <w:iCs/>
          <w:sz w:val="28"/>
          <w:szCs w:val="28"/>
        </w:rPr>
        <w:t> </w:t>
      </w:r>
      <w:r w:rsidRPr="00DA1C58">
        <w:rPr>
          <w:rFonts w:asciiTheme="majorBidi" w:hAnsiTheme="majorBidi" w:cstheme="majorBidi"/>
          <w:sz w:val="24"/>
          <w:szCs w:val="24"/>
        </w:rPr>
        <w:t xml:space="preserve"> C</w:t>
      </w:r>
      <w:r>
        <w:rPr>
          <w:rFonts w:asciiTheme="majorBidi" w:hAnsiTheme="majorBidi" w:cstheme="majorBidi"/>
          <w:sz w:val="24"/>
          <w:szCs w:val="24"/>
        </w:rPr>
        <w:t>.</w:t>
      </w:r>
      <w:r w:rsidRPr="00DA1C58">
        <w:rPr>
          <w:rFonts w:asciiTheme="majorBidi" w:hAnsiTheme="majorBidi" w:cstheme="majorBidi"/>
          <w:sz w:val="24"/>
          <w:szCs w:val="24"/>
        </w:rPr>
        <w:t>E</w:t>
      </w:r>
      <w:r>
        <w:rPr>
          <w:rFonts w:asciiTheme="majorBidi" w:hAnsiTheme="majorBidi" w:cstheme="majorBidi"/>
          <w:sz w:val="24"/>
          <w:szCs w:val="24"/>
        </w:rPr>
        <w:t>.</w:t>
      </w:r>
      <w:r w:rsidRPr="00DA1C58">
        <w:rPr>
          <w:rFonts w:asciiTheme="majorBidi" w:hAnsiTheme="majorBidi" w:cstheme="majorBidi"/>
          <w:sz w:val="24"/>
          <w:szCs w:val="24"/>
        </w:rPr>
        <w:t>C est calculée comme suite :</w:t>
      </w:r>
    </w:p>
    <w:p w:rsidR="00F205F1" w:rsidRPr="00DA1C58" w:rsidRDefault="00F205F1" w:rsidP="00FD483B">
      <w:pPr>
        <w:spacing w:after="0" w:line="360" w:lineRule="auto"/>
        <w:ind w:left="284"/>
        <w:jc w:val="both"/>
        <w:rPr>
          <w:rFonts w:asciiTheme="majorBidi" w:hAnsiTheme="majorBidi" w:cstheme="majorBidi"/>
          <w:sz w:val="24"/>
          <w:szCs w:val="24"/>
          <w:lang w:val="en-US"/>
        </w:rPr>
      </w:pPr>
      <w:r w:rsidRPr="00DA1C58">
        <w:rPr>
          <w:rFonts w:asciiTheme="majorBidi" w:hAnsiTheme="majorBidi" w:cstheme="majorBidi"/>
          <w:b/>
          <w:bCs/>
          <w:sz w:val="24"/>
          <w:szCs w:val="24"/>
          <w:lang w:val="en-US"/>
        </w:rPr>
        <w:t xml:space="preserve">CEC </w:t>
      </w:r>
      <w:r w:rsidRPr="00DA1C58">
        <w:rPr>
          <w:rFonts w:asciiTheme="majorBidi" w:hAnsiTheme="majorBidi" w:cstheme="majorBidi"/>
          <w:b/>
          <w:bCs/>
          <w:sz w:val="24"/>
          <w:szCs w:val="24"/>
          <w:vertAlign w:val="subscript"/>
          <w:lang w:val="en-US"/>
        </w:rPr>
        <w:t>A472=</w:t>
      </w:r>
      <w:r w:rsidRPr="00DA1C58">
        <w:rPr>
          <w:rFonts w:asciiTheme="majorBidi" w:hAnsiTheme="majorBidi" w:cstheme="majorBidi"/>
          <w:b/>
          <w:bCs/>
          <w:sz w:val="24"/>
          <w:szCs w:val="24"/>
          <w:lang w:val="en-US"/>
        </w:rPr>
        <w:t xml:space="preserve"> [(A472</w:t>
      </w:r>
      <w:r w:rsidRPr="00DA1C58">
        <w:rPr>
          <w:rFonts w:asciiTheme="majorBidi" w:hAnsiTheme="majorBidi" w:cstheme="majorBidi"/>
          <w:b/>
          <w:bCs/>
          <w:sz w:val="24"/>
          <w:szCs w:val="24"/>
          <w:vertAlign w:val="subscript"/>
          <w:lang w:val="en-US"/>
        </w:rPr>
        <w:t>e</w:t>
      </w:r>
      <w:r w:rsidRPr="00DA1C58">
        <w:rPr>
          <w:rFonts w:asciiTheme="majorBidi" w:hAnsiTheme="majorBidi" w:cstheme="majorBidi"/>
          <w:b/>
          <w:bCs/>
          <w:sz w:val="24"/>
          <w:szCs w:val="24"/>
          <w:lang w:val="en-US"/>
        </w:rPr>
        <w:t>- A472</w:t>
      </w:r>
      <w:r w:rsidRPr="00DA1C58">
        <w:rPr>
          <w:rFonts w:asciiTheme="majorBidi" w:hAnsiTheme="majorBidi" w:cstheme="majorBidi"/>
          <w:b/>
          <w:bCs/>
          <w:sz w:val="24"/>
          <w:szCs w:val="24"/>
          <w:vertAlign w:val="subscript"/>
          <w:lang w:val="en-US"/>
        </w:rPr>
        <w:t>af</w:t>
      </w:r>
      <w:r w:rsidRPr="00DA1C58">
        <w:rPr>
          <w:rFonts w:asciiTheme="majorBidi" w:hAnsiTheme="majorBidi" w:cstheme="majorBidi"/>
          <w:b/>
          <w:bCs/>
          <w:sz w:val="24"/>
          <w:szCs w:val="24"/>
          <w:lang w:val="en-US"/>
        </w:rPr>
        <w:t>) / A472</w:t>
      </w:r>
      <w:r w:rsidRPr="00DA1C58">
        <w:rPr>
          <w:rFonts w:asciiTheme="majorBidi" w:hAnsiTheme="majorBidi" w:cstheme="majorBidi"/>
          <w:b/>
          <w:bCs/>
          <w:sz w:val="24"/>
          <w:szCs w:val="24"/>
          <w:vertAlign w:val="subscript"/>
          <w:lang w:val="en-US"/>
        </w:rPr>
        <w:t>e</w:t>
      </w:r>
      <w:r w:rsidRPr="00DA1C58">
        <w:rPr>
          <w:rFonts w:asciiTheme="majorBidi" w:hAnsiTheme="majorBidi" w:cstheme="majorBidi"/>
          <w:b/>
          <w:bCs/>
          <w:sz w:val="24"/>
          <w:szCs w:val="24"/>
          <w:lang w:val="en-US"/>
        </w:rPr>
        <w:t>] *50* V/m*100</w:t>
      </w:r>
    </w:p>
    <w:p w:rsidR="00F205F1" w:rsidRDefault="00F205F1" w:rsidP="00FD483B">
      <w:pPr>
        <w:spacing w:after="0" w:line="360" w:lineRule="auto"/>
        <w:jc w:val="both"/>
        <w:rPr>
          <w:rFonts w:asciiTheme="majorBidi" w:hAnsiTheme="majorBidi" w:cstheme="majorBidi"/>
          <w:sz w:val="24"/>
          <w:szCs w:val="24"/>
        </w:rPr>
      </w:pPr>
      <w:r w:rsidRPr="00900B72">
        <w:rPr>
          <w:rFonts w:asciiTheme="majorBidi" w:hAnsiTheme="majorBidi" w:cstheme="majorBidi"/>
          <w:sz w:val="24"/>
          <w:szCs w:val="24"/>
          <w:lang w:val="en-US"/>
        </w:rPr>
        <w:t xml:space="preserve"> </w:t>
      </w:r>
      <w:r w:rsidRPr="00DA1C58">
        <w:rPr>
          <w:rFonts w:asciiTheme="majorBidi" w:hAnsiTheme="majorBidi" w:cstheme="majorBidi"/>
          <w:sz w:val="24"/>
          <w:szCs w:val="24"/>
        </w:rPr>
        <w:t>Où  A472</w:t>
      </w:r>
      <w:r w:rsidRPr="00DA1C58">
        <w:rPr>
          <w:rFonts w:asciiTheme="majorBidi" w:hAnsiTheme="majorBidi" w:cstheme="majorBidi"/>
          <w:sz w:val="24"/>
          <w:szCs w:val="24"/>
          <w:vertAlign w:val="subscript"/>
        </w:rPr>
        <w:t>e</w:t>
      </w:r>
      <w:r w:rsidRPr="00DA1C58">
        <w:rPr>
          <w:rFonts w:asciiTheme="majorBidi" w:hAnsiTheme="majorBidi" w:cstheme="majorBidi"/>
          <w:sz w:val="24"/>
          <w:szCs w:val="24"/>
        </w:rPr>
        <w:t xml:space="preserve"> et A472</w:t>
      </w:r>
      <w:r w:rsidRPr="00DA1C58">
        <w:rPr>
          <w:rFonts w:asciiTheme="majorBidi" w:hAnsiTheme="majorBidi" w:cstheme="majorBidi"/>
          <w:sz w:val="24"/>
          <w:szCs w:val="24"/>
          <w:vertAlign w:val="subscript"/>
        </w:rPr>
        <w:t>af</w:t>
      </w:r>
      <w:r w:rsidRPr="00DA1C58">
        <w:rPr>
          <w:rFonts w:asciiTheme="majorBidi" w:hAnsiTheme="majorBidi" w:cstheme="majorBidi"/>
          <w:sz w:val="24"/>
          <w:szCs w:val="24"/>
        </w:rPr>
        <w:t xml:space="preserve"> correspondant respectivement aux absorbances de la solution 0,05 N (=50 meq l</w:t>
      </w:r>
      <w:r w:rsidRPr="00DA1C58">
        <w:rPr>
          <w:rFonts w:asciiTheme="majorBidi" w:hAnsiTheme="majorBidi" w:cstheme="majorBidi"/>
          <w:sz w:val="24"/>
          <w:szCs w:val="24"/>
          <w:vertAlign w:val="superscript"/>
        </w:rPr>
        <w:t>-1</w:t>
      </w:r>
      <w:r w:rsidRPr="00DA1C58">
        <w:rPr>
          <w:rFonts w:asciiTheme="majorBidi" w:hAnsiTheme="majorBidi" w:cstheme="majorBidi"/>
          <w:sz w:val="24"/>
          <w:szCs w:val="24"/>
        </w:rPr>
        <w:t>) de cobaltihexamine et l’absorbance de la solution filtrée.</w:t>
      </w:r>
    </w:p>
    <w:p w:rsidR="000B7B69" w:rsidRDefault="00F205F1" w:rsidP="00FD483B">
      <w:pPr>
        <w:spacing w:after="0" w:line="360" w:lineRule="auto"/>
        <w:jc w:val="both"/>
        <w:rPr>
          <w:rFonts w:asciiTheme="majorBidi" w:hAnsiTheme="majorBidi" w:cstheme="majorBidi"/>
          <w:sz w:val="24"/>
          <w:szCs w:val="24"/>
        </w:rPr>
      </w:pPr>
      <w:r w:rsidRPr="00A82506">
        <w:rPr>
          <w:rFonts w:asciiTheme="majorBidi" w:hAnsiTheme="majorBidi" w:cstheme="majorBidi"/>
          <w:sz w:val="24"/>
          <w:szCs w:val="24"/>
        </w:rPr>
        <w:t>V : volume en litre de la solution 0,05 N de chlorure de cobaltihexamine ajouté à l’argile (0.04 L),       m : masse d’argile utilisée (2 g)</w:t>
      </w:r>
      <w:r w:rsidR="000B7B69">
        <w:rPr>
          <w:rFonts w:asciiTheme="majorBidi" w:hAnsiTheme="majorBidi" w:cstheme="majorBidi"/>
          <w:sz w:val="24"/>
          <w:szCs w:val="24"/>
        </w:rPr>
        <w:t>.</w:t>
      </w:r>
    </w:p>
    <w:p w:rsidR="00A90324" w:rsidRDefault="00A90324" w:rsidP="00FD483B">
      <w:pPr>
        <w:spacing w:after="0" w:line="360" w:lineRule="auto"/>
        <w:jc w:val="both"/>
        <w:rPr>
          <w:rFonts w:asciiTheme="majorBidi" w:hAnsiTheme="majorBidi" w:cstheme="majorBidi"/>
          <w:sz w:val="24"/>
          <w:szCs w:val="24"/>
        </w:rPr>
      </w:pPr>
    </w:p>
    <w:p w:rsidR="000B7B69" w:rsidRPr="000C0A12" w:rsidRDefault="000B7B69" w:rsidP="00FD483B">
      <w:pPr>
        <w:spacing w:after="0" w:line="360" w:lineRule="auto"/>
        <w:ind w:firstLine="708"/>
        <w:jc w:val="both"/>
        <w:rPr>
          <w:rFonts w:asciiTheme="majorBidi" w:hAnsiTheme="majorBidi" w:cstheme="majorBidi"/>
          <w:b/>
          <w:bCs/>
          <w:i/>
          <w:iCs/>
        </w:rPr>
      </w:pPr>
      <w:r w:rsidRPr="0081657E">
        <w:rPr>
          <w:rFonts w:asciiTheme="majorBidi" w:hAnsiTheme="majorBidi" w:cstheme="majorBidi"/>
          <w:b/>
          <w:bCs/>
          <w:i/>
          <w:iCs/>
          <w:sz w:val="24"/>
          <w:szCs w:val="24"/>
          <w:u w:val="single"/>
        </w:rPr>
        <w:t>3.4. Infrarouge à transformée de Fourier (FITR)</w:t>
      </w:r>
    </w:p>
    <w:p w:rsidR="000B7B69" w:rsidRPr="00751F19" w:rsidRDefault="000B7B69" w:rsidP="00FD483B">
      <w:pPr>
        <w:pStyle w:val="Paragraphedeliste"/>
        <w:ind w:left="0" w:firstLine="284"/>
        <w:rPr>
          <w:rFonts w:asciiTheme="majorBidi" w:hAnsiTheme="majorBidi" w:cstheme="majorBidi"/>
          <w:sz w:val="24"/>
          <w:szCs w:val="24"/>
        </w:rPr>
      </w:pPr>
      <w:r w:rsidRPr="00751F19">
        <w:rPr>
          <w:rFonts w:asciiTheme="majorBidi" w:hAnsiTheme="majorBidi" w:cstheme="majorBidi"/>
          <w:sz w:val="24"/>
          <w:szCs w:val="24"/>
        </w:rPr>
        <w:t xml:space="preserve">La spectrométrie infrarouge est sensible aux énergies de vibration des liaisons moléculaires. Elle constitue une méthode d’analyse des environnements locaux quel que soit l’état physique du système étudié. </w:t>
      </w:r>
    </w:p>
    <w:p w:rsidR="000B7B69" w:rsidRPr="00751F19" w:rsidRDefault="000B7B69" w:rsidP="00FD483B">
      <w:pPr>
        <w:pStyle w:val="Paragraphedeliste"/>
        <w:tabs>
          <w:tab w:val="left" w:pos="1843"/>
        </w:tabs>
        <w:ind w:left="0" w:firstLine="284"/>
        <w:rPr>
          <w:rFonts w:asciiTheme="majorBidi" w:hAnsiTheme="majorBidi" w:cstheme="majorBidi"/>
          <w:sz w:val="24"/>
          <w:szCs w:val="24"/>
        </w:rPr>
      </w:pPr>
      <w:r w:rsidRPr="00751F19">
        <w:rPr>
          <w:rFonts w:asciiTheme="majorBidi" w:hAnsiTheme="majorBidi" w:cstheme="majorBidi"/>
          <w:b/>
          <w:bCs/>
          <w:sz w:val="24"/>
          <w:szCs w:val="24"/>
        </w:rPr>
        <w:t>Principe</w:t>
      </w:r>
      <w:r w:rsidRPr="00751F19">
        <w:rPr>
          <w:rFonts w:asciiTheme="majorBidi" w:hAnsiTheme="majorBidi" w:cstheme="majorBidi"/>
          <w:sz w:val="24"/>
          <w:szCs w:val="24"/>
        </w:rPr>
        <w:t> : dans les conditions normales de tempéra</w:t>
      </w:r>
      <w:r>
        <w:rPr>
          <w:rFonts w:asciiTheme="majorBidi" w:hAnsiTheme="majorBidi" w:cstheme="majorBidi"/>
          <w:sz w:val="24"/>
          <w:szCs w:val="24"/>
        </w:rPr>
        <w:t>ture et de pression (</w:t>
      </w:r>
      <w:r w:rsidRPr="00751F19">
        <w:rPr>
          <w:rFonts w:asciiTheme="majorBidi" w:hAnsiTheme="majorBidi" w:cstheme="majorBidi"/>
          <w:sz w:val="24"/>
          <w:szCs w:val="24"/>
        </w:rPr>
        <w:t>CNTP), les atomes et groupements fonctionnels, constituant</w:t>
      </w:r>
      <w:r>
        <w:rPr>
          <w:rFonts w:asciiTheme="majorBidi" w:hAnsiTheme="majorBidi" w:cstheme="majorBidi"/>
          <w:sz w:val="24"/>
          <w:szCs w:val="24"/>
        </w:rPr>
        <w:t>s</w:t>
      </w:r>
      <w:r w:rsidRPr="00751F19">
        <w:rPr>
          <w:rFonts w:asciiTheme="majorBidi" w:hAnsiTheme="majorBidi" w:cstheme="majorBidi"/>
          <w:sz w:val="24"/>
          <w:szCs w:val="24"/>
        </w:rPr>
        <w:t xml:space="preserve"> la matière, sont animés de mouvement vibratoires. Si ces constituants sont exposés à un rayonnement électromagnétique infrarouge, les liaisons moléculaires absorbent une partie de cette énergie et vibrent selon des mouvements de différents types (vibrations d’élongation ou de déformation). </w:t>
      </w:r>
    </w:p>
    <w:p w:rsidR="000B7B69" w:rsidRPr="000B7B69" w:rsidRDefault="000B7B69" w:rsidP="00FD483B">
      <w:pPr>
        <w:pStyle w:val="Paragraphedeliste"/>
        <w:tabs>
          <w:tab w:val="left" w:pos="0"/>
        </w:tabs>
        <w:ind w:left="0" w:firstLine="284"/>
        <w:rPr>
          <w:rFonts w:asciiTheme="majorBidi" w:hAnsiTheme="majorBidi" w:cstheme="majorBidi"/>
          <w:b/>
          <w:bCs/>
          <w:i/>
          <w:iCs/>
          <w:sz w:val="24"/>
          <w:szCs w:val="24"/>
        </w:rPr>
      </w:pPr>
      <w:r w:rsidRPr="00751F19">
        <w:rPr>
          <w:rFonts w:asciiTheme="majorBidi" w:hAnsiTheme="majorBidi" w:cstheme="majorBidi"/>
          <w:b/>
          <w:bCs/>
          <w:sz w:val="24"/>
          <w:szCs w:val="24"/>
        </w:rPr>
        <w:t>Appareillage </w:t>
      </w:r>
      <w:r w:rsidRPr="00751F19">
        <w:rPr>
          <w:rFonts w:asciiTheme="majorBidi" w:hAnsiTheme="majorBidi" w:cstheme="majorBidi"/>
          <w:sz w:val="24"/>
          <w:szCs w:val="24"/>
        </w:rPr>
        <w:t>: Les mesures ont été effectuées en réflexion diffuse. L’échantillon est dilué dans du KBr pour atténuer les pertes en énergie. La radiation pénètre à l’intérieur de l’échantillon, subit des effets de réflexion, réfraction, diffusion et absorption puis est réémise dans toutes les directions d’un espace hémisphérique.</w:t>
      </w:r>
      <w:r w:rsidRPr="00C927E9">
        <w:rPr>
          <w:rFonts w:asciiTheme="majorBidi" w:hAnsiTheme="majorBidi" w:cstheme="majorBidi"/>
          <w:noProof/>
          <w:sz w:val="24"/>
          <w:szCs w:val="24"/>
        </w:rPr>
        <w:t xml:space="preserve"> </w:t>
      </w:r>
      <w:r w:rsidRPr="00751F19">
        <w:rPr>
          <w:rFonts w:asciiTheme="majorBidi" w:hAnsiTheme="majorBidi" w:cstheme="majorBidi"/>
          <w:sz w:val="24"/>
          <w:szCs w:val="24"/>
        </w:rPr>
        <w:t xml:space="preserve">Les spectres d’absorption ont été réalisés dans le domaine du moyen </w:t>
      </w:r>
      <w:r w:rsidRPr="00751F19">
        <w:rPr>
          <w:rFonts w:asciiTheme="majorBidi" w:hAnsiTheme="majorBidi" w:cstheme="majorBidi"/>
          <w:sz w:val="24"/>
          <w:szCs w:val="24"/>
        </w:rPr>
        <w:lastRenderedPageBreak/>
        <w:t xml:space="preserve">infrarouge, correspondant à des nombres d’onde </w:t>
      </w:r>
      <w:r>
        <w:rPr>
          <w:rFonts w:asciiTheme="majorBidi" w:hAnsiTheme="majorBidi" w:cstheme="majorBidi"/>
          <w:sz w:val="24"/>
          <w:szCs w:val="24"/>
        </w:rPr>
        <w:t>(</w:t>
      </w:r>
      <w:r w:rsidRPr="00751F19">
        <w:rPr>
          <w:rFonts w:asciiTheme="majorBidi" w:hAnsiTheme="majorBidi" w:cstheme="majorBidi"/>
          <w:sz w:val="24"/>
          <w:szCs w:val="24"/>
        </w:rPr>
        <w:t>υ</w:t>
      </w:r>
      <w:r>
        <w:rPr>
          <w:rFonts w:asciiTheme="majorBidi" w:hAnsiTheme="majorBidi" w:cstheme="majorBidi"/>
          <w:sz w:val="24"/>
          <w:szCs w:val="24"/>
        </w:rPr>
        <w:t>= 1/λ)</w:t>
      </w:r>
      <w:r w:rsidRPr="00751F19">
        <w:rPr>
          <w:rFonts w:asciiTheme="majorBidi" w:hAnsiTheme="majorBidi" w:cstheme="majorBidi"/>
          <w:sz w:val="24"/>
          <w:szCs w:val="24"/>
        </w:rPr>
        <w:t xml:space="preserve"> compris entre 400 cm</w:t>
      </w:r>
      <w:r w:rsidRPr="00751F19">
        <w:rPr>
          <w:rFonts w:asciiTheme="majorBidi" w:hAnsiTheme="majorBidi" w:cstheme="majorBidi"/>
          <w:sz w:val="24"/>
          <w:szCs w:val="24"/>
          <w:vertAlign w:val="superscript"/>
        </w:rPr>
        <w:t>-1</w:t>
      </w:r>
      <w:r w:rsidRPr="00751F19">
        <w:rPr>
          <w:rFonts w:asciiTheme="majorBidi" w:hAnsiTheme="majorBidi" w:cstheme="majorBidi"/>
          <w:sz w:val="24"/>
          <w:szCs w:val="24"/>
        </w:rPr>
        <w:t xml:space="preserve"> et 4000</w:t>
      </w:r>
      <w:r>
        <w:rPr>
          <w:rFonts w:asciiTheme="majorBidi" w:hAnsiTheme="majorBidi" w:cstheme="majorBidi"/>
          <w:sz w:val="24"/>
          <w:szCs w:val="24"/>
        </w:rPr>
        <w:t xml:space="preserve"> </w:t>
      </w:r>
      <w:r w:rsidRPr="00751F19">
        <w:rPr>
          <w:rFonts w:asciiTheme="majorBidi" w:hAnsiTheme="majorBidi" w:cstheme="majorBidi"/>
          <w:sz w:val="24"/>
          <w:szCs w:val="24"/>
        </w:rPr>
        <w:t>cm</w:t>
      </w:r>
      <w:r w:rsidRPr="00751F19">
        <w:rPr>
          <w:rFonts w:asciiTheme="majorBidi" w:hAnsiTheme="majorBidi" w:cstheme="majorBidi"/>
          <w:sz w:val="24"/>
          <w:szCs w:val="24"/>
          <w:vertAlign w:val="superscript"/>
        </w:rPr>
        <w:t>-1</w:t>
      </w:r>
      <w:r w:rsidRPr="00751F19">
        <w:rPr>
          <w:rFonts w:asciiTheme="majorBidi" w:hAnsiTheme="majorBidi" w:cstheme="majorBidi"/>
          <w:sz w:val="24"/>
          <w:szCs w:val="24"/>
        </w:rPr>
        <w:t>.</w:t>
      </w:r>
      <w:r>
        <w:rPr>
          <w:rFonts w:asciiTheme="majorBidi" w:hAnsiTheme="majorBidi" w:cstheme="majorBidi"/>
          <w:sz w:val="24"/>
          <w:szCs w:val="24"/>
        </w:rPr>
        <w:t xml:space="preserve"> </w:t>
      </w:r>
      <w:r w:rsidRPr="00751F19">
        <w:rPr>
          <w:rFonts w:asciiTheme="majorBidi" w:hAnsiTheme="majorBidi" w:cstheme="majorBidi"/>
          <w:sz w:val="24"/>
          <w:szCs w:val="24"/>
        </w:rPr>
        <w:t>L’appareil utilisé est spectromèt</w:t>
      </w:r>
      <w:r>
        <w:rPr>
          <w:rFonts w:asciiTheme="majorBidi" w:hAnsiTheme="majorBidi" w:cstheme="majorBidi"/>
          <w:sz w:val="24"/>
          <w:szCs w:val="24"/>
        </w:rPr>
        <w:t>re infrarouge à transformer de F</w:t>
      </w:r>
      <w:r w:rsidRPr="00751F19">
        <w:rPr>
          <w:rFonts w:asciiTheme="majorBidi" w:hAnsiTheme="majorBidi" w:cstheme="majorBidi"/>
          <w:sz w:val="24"/>
          <w:szCs w:val="24"/>
        </w:rPr>
        <w:t xml:space="preserve">ourier </w:t>
      </w:r>
      <w:r w:rsidRPr="00751F19">
        <w:rPr>
          <w:rFonts w:asciiTheme="majorBidi" w:hAnsiTheme="majorBidi" w:cstheme="majorBidi"/>
          <w:b/>
          <w:bCs/>
          <w:i/>
          <w:iCs/>
          <w:sz w:val="24"/>
          <w:szCs w:val="24"/>
        </w:rPr>
        <w:t>(IR-FT ;</w:t>
      </w:r>
      <w:r>
        <w:rPr>
          <w:rFonts w:asciiTheme="majorBidi" w:hAnsiTheme="majorBidi" w:cstheme="majorBidi"/>
          <w:b/>
          <w:bCs/>
          <w:i/>
          <w:iCs/>
          <w:sz w:val="24"/>
          <w:szCs w:val="24"/>
        </w:rPr>
        <w:t xml:space="preserve"> Perkin Elmer).</w:t>
      </w:r>
    </w:p>
    <w:p w:rsidR="000B7B69" w:rsidRDefault="00A90324" w:rsidP="00FD483B">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86912" behindDoc="0" locked="0" layoutInCell="1" allowOverlap="1">
            <wp:simplePos x="0" y="0"/>
            <wp:positionH relativeFrom="column">
              <wp:posOffset>3493135</wp:posOffset>
            </wp:positionH>
            <wp:positionV relativeFrom="paragraph">
              <wp:posOffset>181610</wp:posOffset>
            </wp:positionV>
            <wp:extent cx="2200275" cy="1741170"/>
            <wp:effectExtent l="171450" t="133350" r="371475" b="297180"/>
            <wp:wrapSquare wrapText="bothSides"/>
            <wp:docPr id="8" name="Image 3" descr="C:\Documents and Settings\Ghost\Bureau\IR\DSCN1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Ghost\Bureau\IR\DSCN1734.JPG"/>
                    <pic:cNvPicPr>
                      <a:picLocks noChangeAspect="1" noChangeArrowheads="1"/>
                    </pic:cNvPicPr>
                  </pic:nvPicPr>
                  <pic:blipFill>
                    <a:blip r:embed="rId9" cstate="print"/>
                    <a:srcRect/>
                    <a:stretch>
                      <a:fillRect/>
                    </a:stretch>
                  </pic:blipFill>
                  <pic:spPr bwMode="auto">
                    <a:xfrm>
                      <a:off x="0" y="0"/>
                      <a:ext cx="2200275" cy="1741170"/>
                    </a:xfrm>
                    <a:prstGeom prst="rect">
                      <a:avLst/>
                    </a:prstGeom>
                    <a:ln>
                      <a:noFill/>
                    </a:ln>
                    <a:effectLst>
                      <a:outerShdw blurRad="292100" dist="139700" dir="2700000" algn="tl" rotWithShape="0">
                        <a:srgbClr val="333333">
                          <a:alpha val="65000"/>
                        </a:srgbClr>
                      </a:outerShdw>
                    </a:effectLst>
                  </pic:spPr>
                </pic:pic>
              </a:graphicData>
            </a:graphic>
          </wp:anchor>
        </w:drawing>
      </w:r>
      <w:r>
        <w:rPr>
          <w:rFonts w:asciiTheme="majorBidi" w:hAnsiTheme="majorBidi" w:cstheme="majorBidi"/>
          <w:noProof/>
          <w:sz w:val="24"/>
          <w:szCs w:val="24"/>
        </w:rPr>
        <w:drawing>
          <wp:anchor distT="0" distB="0" distL="114300" distR="114300" simplePos="0" relativeHeight="251685888" behindDoc="0" locked="0" layoutInCell="1" allowOverlap="1">
            <wp:simplePos x="0" y="0"/>
            <wp:positionH relativeFrom="column">
              <wp:posOffset>680720</wp:posOffset>
            </wp:positionH>
            <wp:positionV relativeFrom="paragraph">
              <wp:posOffset>181610</wp:posOffset>
            </wp:positionV>
            <wp:extent cx="2368550" cy="1779905"/>
            <wp:effectExtent l="171450" t="133350" r="355600" b="296545"/>
            <wp:wrapSquare wrapText="bothSides"/>
            <wp:docPr id="9" name="Image 2" descr="C:\Documents and Settings\Ghost\Bureau\IR\DSCN1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Ghost\Bureau\IR\DSCN1730.JPG"/>
                    <pic:cNvPicPr>
                      <a:picLocks noChangeAspect="1" noChangeArrowheads="1"/>
                    </pic:cNvPicPr>
                  </pic:nvPicPr>
                  <pic:blipFill>
                    <a:blip r:embed="rId10" cstate="print"/>
                    <a:srcRect/>
                    <a:stretch>
                      <a:fillRect/>
                    </a:stretch>
                  </pic:blipFill>
                  <pic:spPr bwMode="auto">
                    <a:xfrm>
                      <a:off x="0" y="0"/>
                      <a:ext cx="2368550" cy="1779905"/>
                    </a:xfrm>
                    <a:prstGeom prst="rect">
                      <a:avLst/>
                    </a:prstGeom>
                    <a:ln>
                      <a:noFill/>
                    </a:ln>
                    <a:effectLst>
                      <a:outerShdw blurRad="292100" dist="139700" dir="2700000" algn="tl" rotWithShape="0">
                        <a:srgbClr val="333333">
                          <a:alpha val="65000"/>
                        </a:srgbClr>
                      </a:outerShdw>
                    </a:effectLst>
                  </pic:spPr>
                </pic:pic>
              </a:graphicData>
            </a:graphic>
          </wp:anchor>
        </w:drawing>
      </w: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autoSpaceDE w:val="0"/>
        <w:autoSpaceDN w:val="0"/>
        <w:adjustRightInd w:val="0"/>
        <w:spacing w:after="0" w:line="360" w:lineRule="auto"/>
        <w:jc w:val="both"/>
        <w:rPr>
          <w:rFonts w:asciiTheme="majorBidi" w:hAnsiTheme="majorBidi" w:cstheme="majorBidi"/>
          <w:b/>
          <w:bCs/>
        </w:rPr>
      </w:pPr>
    </w:p>
    <w:p w:rsidR="00A90324" w:rsidRDefault="00A90324" w:rsidP="00FD483B">
      <w:pPr>
        <w:pStyle w:val="Paragraphedeliste"/>
        <w:tabs>
          <w:tab w:val="left" w:pos="0"/>
        </w:tabs>
        <w:ind w:left="0" w:firstLine="284"/>
        <w:rPr>
          <w:rFonts w:asciiTheme="majorBidi" w:hAnsiTheme="majorBidi" w:cstheme="majorBidi"/>
          <w:b/>
          <w:bCs/>
        </w:rPr>
      </w:pPr>
    </w:p>
    <w:p w:rsidR="00A90324" w:rsidRDefault="00A90324" w:rsidP="00FD483B">
      <w:pPr>
        <w:pStyle w:val="Paragraphedeliste"/>
        <w:tabs>
          <w:tab w:val="left" w:pos="0"/>
        </w:tabs>
        <w:ind w:left="0" w:firstLine="284"/>
        <w:rPr>
          <w:rFonts w:asciiTheme="majorBidi" w:hAnsiTheme="majorBidi" w:cstheme="majorBidi"/>
          <w:b/>
          <w:bCs/>
        </w:rPr>
      </w:pPr>
    </w:p>
    <w:p w:rsidR="00A90324" w:rsidRDefault="00A90324" w:rsidP="00FD483B">
      <w:pPr>
        <w:pStyle w:val="Paragraphedeliste"/>
        <w:tabs>
          <w:tab w:val="left" w:pos="0"/>
        </w:tabs>
        <w:ind w:left="0" w:firstLine="284"/>
        <w:rPr>
          <w:rFonts w:asciiTheme="majorBidi" w:hAnsiTheme="majorBidi" w:cstheme="majorBidi"/>
          <w:i/>
          <w:iCs/>
        </w:rPr>
      </w:pPr>
    </w:p>
    <w:p w:rsidR="000B7B69" w:rsidRPr="0098432E" w:rsidRDefault="000B7B69" w:rsidP="00FD483B">
      <w:pPr>
        <w:pStyle w:val="Paragraphedeliste"/>
        <w:tabs>
          <w:tab w:val="left" w:pos="0"/>
        </w:tabs>
        <w:ind w:left="0" w:firstLine="284"/>
        <w:jc w:val="center"/>
        <w:rPr>
          <w:rFonts w:asciiTheme="majorBidi" w:hAnsiTheme="majorBidi" w:cstheme="majorBidi"/>
          <w:b/>
          <w:bCs/>
          <w:i/>
          <w:iCs/>
          <w:sz w:val="24"/>
          <w:szCs w:val="24"/>
        </w:rPr>
      </w:pPr>
      <w:r w:rsidRPr="00365FC7">
        <w:rPr>
          <w:rFonts w:asciiTheme="majorBidi" w:hAnsiTheme="majorBidi" w:cstheme="majorBidi"/>
          <w:i/>
          <w:iCs/>
        </w:rPr>
        <w:t>(a)</w:t>
      </w:r>
      <w:r w:rsidRPr="00A35FF4">
        <w:rPr>
          <w:rFonts w:asciiTheme="majorBidi" w:hAnsiTheme="majorBidi" w:cstheme="majorBidi"/>
          <w:i/>
          <w:iCs/>
        </w:rPr>
        <w:t xml:space="preserve"> </w:t>
      </w:r>
      <w:r>
        <w:rPr>
          <w:rFonts w:asciiTheme="majorBidi" w:hAnsiTheme="majorBidi" w:cstheme="majorBidi"/>
          <w:i/>
          <w:iCs/>
        </w:rPr>
        <w:t xml:space="preserve">                                               </w:t>
      </w:r>
      <w:r w:rsidR="00A90324">
        <w:rPr>
          <w:rFonts w:asciiTheme="majorBidi" w:hAnsiTheme="majorBidi" w:cstheme="majorBidi"/>
          <w:i/>
          <w:iCs/>
        </w:rPr>
        <w:t xml:space="preserve">                             </w:t>
      </w:r>
      <w:r w:rsidRPr="00365FC7">
        <w:rPr>
          <w:rFonts w:asciiTheme="majorBidi" w:hAnsiTheme="majorBidi" w:cstheme="majorBidi"/>
          <w:i/>
          <w:iCs/>
        </w:rPr>
        <w:t>(b)</w:t>
      </w:r>
    </w:p>
    <w:p w:rsidR="000B7B69" w:rsidRDefault="000B7B69" w:rsidP="00FD483B">
      <w:pPr>
        <w:autoSpaceDE w:val="0"/>
        <w:autoSpaceDN w:val="0"/>
        <w:adjustRightInd w:val="0"/>
        <w:spacing w:after="0" w:line="360" w:lineRule="auto"/>
        <w:jc w:val="center"/>
        <w:rPr>
          <w:rFonts w:asciiTheme="majorBidi" w:hAnsiTheme="majorBidi" w:cstheme="majorBidi"/>
        </w:rPr>
      </w:pPr>
      <w:r w:rsidRPr="00C64066">
        <w:rPr>
          <w:rFonts w:asciiTheme="majorBidi" w:hAnsiTheme="majorBidi" w:cstheme="majorBidi"/>
          <w:b/>
          <w:bCs/>
        </w:rPr>
        <w:t>Figure II.3 :</w:t>
      </w:r>
      <w:r w:rsidRPr="00C64066">
        <w:rPr>
          <w:rFonts w:asciiTheme="majorBidi" w:hAnsiTheme="majorBidi" w:cstheme="majorBidi"/>
        </w:rPr>
        <w:t xml:space="preserve"> (a)</w:t>
      </w:r>
      <w:r w:rsidRPr="00C64066">
        <w:rPr>
          <w:rFonts w:asciiTheme="majorBidi" w:hAnsiTheme="majorBidi" w:cstheme="majorBidi"/>
          <w:b/>
        </w:rPr>
        <w:t xml:space="preserve"> </w:t>
      </w:r>
      <w:r w:rsidRPr="00C64066">
        <w:rPr>
          <w:rFonts w:asciiTheme="majorBidi" w:hAnsiTheme="majorBidi" w:cstheme="majorBidi"/>
          <w:bCs/>
        </w:rPr>
        <w:t xml:space="preserve">Appareil de l’infrarouge, </w:t>
      </w:r>
      <w:r>
        <w:rPr>
          <w:rFonts w:asciiTheme="majorBidi" w:hAnsiTheme="majorBidi" w:cstheme="majorBidi"/>
        </w:rPr>
        <w:t xml:space="preserve">(b) </w:t>
      </w:r>
      <w:r w:rsidRPr="00C64066">
        <w:rPr>
          <w:rFonts w:asciiTheme="majorBidi" w:hAnsiTheme="majorBidi" w:cstheme="majorBidi"/>
        </w:rPr>
        <w:t>Pastilleuse.</w:t>
      </w:r>
    </w:p>
    <w:p w:rsidR="00A90324" w:rsidRPr="000B7B69" w:rsidRDefault="00A90324" w:rsidP="00FD483B">
      <w:pPr>
        <w:autoSpaceDE w:val="0"/>
        <w:autoSpaceDN w:val="0"/>
        <w:adjustRightInd w:val="0"/>
        <w:spacing w:after="0" w:line="360" w:lineRule="auto"/>
        <w:jc w:val="both"/>
        <w:rPr>
          <w:rFonts w:asciiTheme="majorBidi" w:hAnsiTheme="majorBidi" w:cstheme="majorBidi"/>
          <w:b/>
          <w:bCs/>
        </w:rPr>
      </w:pPr>
    </w:p>
    <w:p w:rsidR="000B7B69" w:rsidRPr="000C0A12" w:rsidRDefault="000B7B69" w:rsidP="00FD483B">
      <w:pPr>
        <w:spacing w:after="0" w:line="360" w:lineRule="auto"/>
        <w:ind w:firstLine="708"/>
        <w:jc w:val="both"/>
        <w:rPr>
          <w:rFonts w:asciiTheme="majorBidi" w:hAnsiTheme="majorBidi" w:cstheme="majorBidi"/>
          <w:b/>
          <w:bCs/>
          <w:i/>
          <w:iCs/>
          <w:color w:val="000000"/>
          <w:sz w:val="24"/>
          <w:szCs w:val="24"/>
        </w:rPr>
      </w:pPr>
      <w:r w:rsidRPr="0081657E">
        <w:rPr>
          <w:rFonts w:asciiTheme="majorBidi" w:hAnsiTheme="majorBidi" w:cstheme="majorBidi"/>
          <w:b/>
          <w:bCs/>
          <w:i/>
          <w:iCs/>
          <w:color w:val="000000"/>
          <w:sz w:val="24"/>
          <w:szCs w:val="24"/>
          <w:u w:val="single"/>
        </w:rPr>
        <w:t>3.3. Microscopie électronique à balayage</w:t>
      </w:r>
    </w:p>
    <w:p w:rsidR="000B7B69" w:rsidRDefault="000B7B69" w:rsidP="00FD483B">
      <w:pPr>
        <w:spacing w:after="0" w:line="360" w:lineRule="auto"/>
        <w:ind w:firstLine="567"/>
        <w:jc w:val="both"/>
        <w:rPr>
          <w:rFonts w:asciiTheme="majorBidi" w:hAnsiTheme="majorBidi" w:cstheme="majorBidi"/>
          <w:sz w:val="24"/>
          <w:szCs w:val="24"/>
        </w:rPr>
      </w:pPr>
      <w:r w:rsidRPr="00982A18">
        <w:rPr>
          <w:rFonts w:asciiTheme="majorBidi" w:hAnsiTheme="majorBidi" w:cstheme="majorBidi"/>
          <w:color w:val="000000"/>
          <w:sz w:val="24"/>
          <w:szCs w:val="24"/>
        </w:rPr>
        <w:t>Cette technique permet d’accéder aux dimensions des cristallines des argiles. Les observations sont effectué</w:t>
      </w:r>
      <w:r>
        <w:rPr>
          <w:rFonts w:asciiTheme="majorBidi" w:hAnsiTheme="majorBidi" w:cstheme="majorBidi"/>
          <w:color w:val="000000"/>
          <w:sz w:val="24"/>
          <w:szCs w:val="24"/>
        </w:rPr>
        <w:t>e</w:t>
      </w:r>
      <w:r w:rsidRPr="00982A18">
        <w:rPr>
          <w:rFonts w:asciiTheme="majorBidi" w:hAnsiTheme="majorBidi" w:cstheme="majorBidi"/>
          <w:color w:val="000000"/>
          <w:sz w:val="24"/>
          <w:szCs w:val="24"/>
        </w:rPr>
        <w:t>s à l’aide d’un microscope électronique à balayage de marque TM1000</w:t>
      </w:r>
      <w:r>
        <w:rPr>
          <w:rFonts w:asciiTheme="majorBidi" w:hAnsiTheme="majorBidi" w:cstheme="majorBidi"/>
          <w:color w:val="000000"/>
          <w:sz w:val="24"/>
          <w:szCs w:val="24"/>
        </w:rPr>
        <w:t xml:space="preserve">. </w:t>
      </w:r>
      <w:r w:rsidRPr="00FA703D">
        <w:rPr>
          <w:rFonts w:asciiTheme="majorBidi" w:hAnsiTheme="majorBidi" w:cstheme="majorBidi"/>
          <w:sz w:val="24"/>
          <w:szCs w:val="24"/>
        </w:rPr>
        <w:t>Divers appareils peuvent être couplés à la microscopie électronique pour effectuer des analyses complémentaires, basés sur d’autres types d’interaction électrons-matière. Ainsi, le microscope que nous utilisons est couplé à un système de microanalyse chimique EDX. Un détecteur Si/Li à fenêtre de Be capte les photons X émis par l’objet. Ces photons X sont issus</w:t>
      </w:r>
      <w:r>
        <w:t xml:space="preserve"> </w:t>
      </w:r>
      <w:r w:rsidRPr="00FA703D">
        <w:rPr>
          <w:rFonts w:asciiTheme="majorBidi" w:hAnsiTheme="majorBidi" w:cstheme="majorBidi"/>
          <w:sz w:val="24"/>
          <w:szCs w:val="24"/>
        </w:rPr>
        <w:t>de l’interaction des électrons du faisceau incident avec les électrons des couches internes et la formation des lacunes. Celles-ci sont immédiatement comblées par des électrons des couches supérieures. Ces transferts d’électrons s’opèrent avec une émission de photons X d’</w:t>
      </w:r>
      <w:r>
        <w:rPr>
          <w:rFonts w:asciiTheme="majorBidi" w:hAnsiTheme="majorBidi" w:cstheme="majorBidi"/>
          <w:sz w:val="24"/>
          <w:szCs w:val="24"/>
        </w:rPr>
        <w:t>énergies (</w:t>
      </w:r>
      <w:r w:rsidRPr="00FA703D">
        <w:rPr>
          <w:rFonts w:asciiTheme="majorBidi" w:hAnsiTheme="majorBidi" w:cstheme="majorBidi"/>
          <w:sz w:val="24"/>
          <w:szCs w:val="24"/>
        </w:rPr>
        <w:t>et donc de longueur d’onde) et en intensité, sous forme d’un spectre de raies caractéristiques des atomes, permet donc une analyse qualitative et quantitative du matériau irradié. Il faut noter cependant que tous les éléments ne peuvent être détectés : par exemple, les éléments plus légers que l’oxygène.</w:t>
      </w:r>
    </w:p>
    <w:p w:rsidR="00FD483B" w:rsidRDefault="00FD483B" w:rsidP="00FD483B">
      <w:pPr>
        <w:spacing w:after="0" w:line="360" w:lineRule="auto"/>
        <w:ind w:firstLine="567"/>
        <w:jc w:val="both"/>
        <w:rPr>
          <w:rFonts w:asciiTheme="majorBidi" w:hAnsiTheme="majorBidi" w:cstheme="majorBidi"/>
          <w:sz w:val="24"/>
          <w:szCs w:val="24"/>
        </w:rPr>
      </w:pPr>
    </w:p>
    <w:p w:rsidR="00FD483B" w:rsidRDefault="00FD483B" w:rsidP="00FD483B">
      <w:pPr>
        <w:spacing w:after="0" w:line="360" w:lineRule="auto"/>
        <w:ind w:firstLine="567"/>
        <w:jc w:val="both"/>
        <w:rPr>
          <w:rFonts w:asciiTheme="majorBidi" w:hAnsiTheme="majorBidi" w:cstheme="majorBidi"/>
          <w:sz w:val="24"/>
          <w:szCs w:val="24"/>
        </w:rPr>
      </w:pPr>
    </w:p>
    <w:p w:rsidR="00FD483B" w:rsidRDefault="00FD483B" w:rsidP="00FD483B">
      <w:pPr>
        <w:spacing w:after="0" w:line="360" w:lineRule="auto"/>
        <w:ind w:firstLine="567"/>
        <w:jc w:val="both"/>
        <w:rPr>
          <w:rFonts w:asciiTheme="majorBidi" w:hAnsiTheme="majorBidi" w:cstheme="majorBidi"/>
          <w:sz w:val="24"/>
          <w:szCs w:val="24"/>
        </w:rPr>
      </w:pPr>
    </w:p>
    <w:p w:rsidR="00FD483B" w:rsidRDefault="00FD483B" w:rsidP="00FD483B">
      <w:pPr>
        <w:spacing w:after="0" w:line="360" w:lineRule="auto"/>
        <w:ind w:firstLine="567"/>
        <w:jc w:val="both"/>
        <w:rPr>
          <w:rFonts w:asciiTheme="majorBidi" w:hAnsiTheme="majorBidi" w:cstheme="majorBidi"/>
          <w:sz w:val="24"/>
          <w:szCs w:val="24"/>
        </w:rPr>
      </w:pPr>
    </w:p>
    <w:p w:rsidR="00FD483B" w:rsidRDefault="00FD483B" w:rsidP="00FD483B">
      <w:pPr>
        <w:spacing w:after="0" w:line="360" w:lineRule="auto"/>
        <w:ind w:firstLine="567"/>
        <w:jc w:val="both"/>
        <w:rPr>
          <w:rFonts w:asciiTheme="majorBidi" w:hAnsiTheme="majorBidi" w:cstheme="majorBidi"/>
          <w:sz w:val="24"/>
          <w:szCs w:val="24"/>
        </w:rPr>
      </w:pPr>
    </w:p>
    <w:p w:rsidR="00FD483B" w:rsidRDefault="00FD483B" w:rsidP="00FD483B">
      <w:pPr>
        <w:spacing w:after="0" w:line="360" w:lineRule="auto"/>
        <w:ind w:firstLine="567"/>
        <w:jc w:val="both"/>
        <w:rPr>
          <w:rFonts w:asciiTheme="majorBidi" w:hAnsiTheme="majorBidi" w:cstheme="majorBidi"/>
          <w:sz w:val="24"/>
          <w:szCs w:val="24"/>
        </w:rPr>
      </w:pPr>
    </w:p>
    <w:p w:rsidR="00A90324" w:rsidRDefault="00FD483B" w:rsidP="00FD483B">
      <w:pPr>
        <w:spacing w:after="0" w:line="360" w:lineRule="auto"/>
        <w:ind w:firstLine="567"/>
        <w:jc w:val="both"/>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688960" behindDoc="0" locked="0" layoutInCell="1" allowOverlap="1">
            <wp:simplePos x="0" y="0"/>
            <wp:positionH relativeFrom="column">
              <wp:posOffset>1656080</wp:posOffset>
            </wp:positionH>
            <wp:positionV relativeFrom="paragraph">
              <wp:posOffset>75565</wp:posOffset>
            </wp:positionV>
            <wp:extent cx="2287905" cy="1591310"/>
            <wp:effectExtent l="171450" t="133350" r="360045" b="313690"/>
            <wp:wrapSquare wrapText="bothSides"/>
            <wp:docPr id="10" name="Image 2" descr="C:\Documents and Settings\Ghost\Bureau\Photo0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Ghost\Bureau\Photo0388.jpg"/>
                    <pic:cNvPicPr>
                      <a:picLocks noChangeAspect="1" noChangeArrowheads="1"/>
                    </pic:cNvPicPr>
                  </pic:nvPicPr>
                  <pic:blipFill>
                    <a:blip r:embed="rId11" cstate="print"/>
                    <a:srcRect/>
                    <a:stretch>
                      <a:fillRect/>
                    </a:stretch>
                  </pic:blipFill>
                  <pic:spPr bwMode="auto">
                    <a:xfrm>
                      <a:off x="0" y="0"/>
                      <a:ext cx="2287905" cy="1591310"/>
                    </a:xfrm>
                    <a:prstGeom prst="rect">
                      <a:avLst/>
                    </a:prstGeom>
                    <a:ln>
                      <a:noFill/>
                    </a:ln>
                    <a:effectLst>
                      <a:outerShdw blurRad="292100" dist="139700" dir="2700000" algn="tl" rotWithShape="0">
                        <a:srgbClr val="333333">
                          <a:alpha val="65000"/>
                        </a:srgbClr>
                      </a:outerShdw>
                    </a:effectLst>
                  </pic:spPr>
                </pic:pic>
              </a:graphicData>
            </a:graphic>
          </wp:anchor>
        </w:drawing>
      </w:r>
    </w:p>
    <w:p w:rsidR="00A90324" w:rsidRDefault="00A90324" w:rsidP="00FD483B">
      <w:pPr>
        <w:spacing w:after="0" w:line="360" w:lineRule="auto"/>
        <w:ind w:firstLine="567"/>
        <w:jc w:val="both"/>
        <w:rPr>
          <w:rFonts w:asciiTheme="majorBidi" w:hAnsiTheme="majorBidi" w:cstheme="majorBidi"/>
          <w:sz w:val="24"/>
          <w:szCs w:val="24"/>
        </w:rPr>
      </w:pPr>
    </w:p>
    <w:p w:rsidR="00A90324" w:rsidRDefault="00A90324" w:rsidP="00FD483B">
      <w:pPr>
        <w:spacing w:after="0" w:line="360" w:lineRule="auto"/>
        <w:ind w:firstLine="567"/>
        <w:jc w:val="both"/>
        <w:rPr>
          <w:rFonts w:asciiTheme="majorBidi" w:hAnsiTheme="majorBidi" w:cstheme="majorBidi"/>
          <w:sz w:val="24"/>
          <w:szCs w:val="24"/>
        </w:rPr>
      </w:pPr>
    </w:p>
    <w:p w:rsidR="00A90324" w:rsidRDefault="00A90324" w:rsidP="00FD483B">
      <w:pPr>
        <w:spacing w:after="0" w:line="360" w:lineRule="auto"/>
        <w:ind w:firstLine="567"/>
        <w:jc w:val="both"/>
        <w:rPr>
          <w:rFonts w:asciiTheme="majorBidi" w:hAnsiTheme="majorBidi" w:cstheme="majorBidi"/>
          <w:sz w:val="24"/>
          <w:szCs w:val="24"/>
        </w:rPr>
      </w:pPr>
    </w:p>
    <w:p w:rsidR="00A90324" w:rsidRDefault="00A90324" w:rsidP="00FD483B">
      <w:pPr>
        <w:spacing w:after="0" w:line="360" w:lineRule="auto"/>
        <w:jc w:val="both"/>
        <w:rPr>
          <w:rFonts w:asciiTheme="majorBidi" w:hAnsiTheme="majorBidi" w:cstheme="majorBidi"/>
          <w:b/>
          <w:bCs/>
          <w:i/>
          <w:iCs/>
          <w:color w:val="FF0000"/>
        </w:rPr>
      </w:pPr>
    </w:p>
    <w:p w:rsidR="00A90324" w:rsidRDefault="00A90324" w:rsidP="00FD483B">
      <w:pPr>
        <w:spacing w:after="0" w:line="360" w:lineRule="auto"/>
        <w:jc w:val="both"/>
        <w:rPr>
          <w:rFonts w:asciiTheme="majorBidi" w:hAnsiTheme="majorBidi" w:cstheme="majorBidi"/>
          <w:b/>
          <w:bCs/>
          <w:i/>
          <w:iCs/>
          <w:color w:val="FF0000"/>
        </w:rPr>
      </w:pPr>
    </w:p>
    <w:p w:rsidR="00A90324" w:rsidRDefault="00A90324" w:rsidP="00FD483B">
      <w:pPr>
        <w:spacing w:after="0" w:line="360" w:lineRule="auto"/>
        <w:jc w:val="both"/>
        <w:rPr>
          <w:rFonts w:asciiTheme="majorBidi" w:hAnsiTheme="majorBidi" w:cstheme="majorBidi"/>
          <w:b/>
          <w:bCs/>
          <w:i/>
          <w:iCs/>
          <w:color w:val="FF0000"/>
        </w:rPr>
      </w:pPr>
    </w:p>
    <w:p w:rsidR="00A90324" w:rsidRDefault="00A90324" w:rsidP="00FD483B">
      <w:pPr>
        <w:spacing w:after="0" w:line="360" w:lineRule="auto"/>
        <w:jc w:val="both"/>
        <w:rPr>
          <w:rFonts w:asciiTheme="majorBidi" w:hAnsiTheme="majorBidi" w:cstheme="majorBidi"/>
          <w:b/>
          <w:bCs/>
          <w:i/>
          <w:iCs/>
          <w:color w:val="FF0000"/>
        </w:rPr>
      </w:pPr>
    </w:p>
    <w:p w:rsidR="00A90324" w:rsidRPr="00A90324" w:rsidRDefault="000B7B69" w:rsidP="00FD483B">
      <w:pPr>
        <w:autoSpaceDE w:val="0"/>
        <w:autoSpaceDN w:val="0"/>
        <w:adjustRightInd w:val="0"/>
        <w:spacing w:after="0" w:line="360" w:lineRule="auto"/>
        <w:jc w:val="center"/>
        <w:rPr>
          <w:rFonts w:asciiTheme="majorBidi" w:hAnsiTheme="majorBidi" w:cstheme="majorBidi"/>
          <w:bCs/>
          <w:i/>
        </w:rPr>
      </w:pPr>
      <w:r w:rsidRPr="00C64066">
        <w:rPr>
          <w:rFonts w:asciiTheme="majorBidi" w:hAnsiTheme="majorBidi" w:cstheme="majorBidi"/>
          <w:b/>
          <w:bCs/>
        </w:rPr>
        <w:t>Figure II.2 :</w:t>
      </w:r>
      <w:r w:rsidRPr="00C64066">
        <w:rPr>
          <w:rFonts w:asciiTheme="majorBidi" w:hAnsiTheme="majorBidi" w:cstheme="majorBidi"/>
        </w:rPr>
        <w:t xml:space="preserve"> </w:t>
      </w:r>
      <w:r w:rsidRPr="00C64066">
        <w:rPr>
          <w:rFonts w:asciiTheme="majorBidi" w:hAnsiTheme="majorBidi" w:cstheme="majorBidi"/>
          <w:bCs/>
        </w:rPr>
        <w:t>Appareil de Microscopie électronique à balayage</w:t>
      </w:r>
      <w:r>
        <w:rPr>
          <w:rFonts w:asciiTheme="majorBidi" w:hAnsiTheme="majorBidi" w:cstheme="majorBidi"/>
          <w:bCs/>
          <w:i/>
        </w:rPr>
        <w:t>.</w:t>
      </w:r>
    </w:p>
    <w:p w:rsidR="00F205F1" w:rsidRPr="000C0A12" w:rsidRDefault="000C0A12" w:rsidP="00FD483B">
      <w:pPr>
        <w:spacing w:after="0" w:line="360" w:lineRule="auto"/>
        <w:ind w:firstLine="284"/>
        <w:jc w:val="both"/>
        <w:rPr>
          <w:rFonts w:asciiTheme="majorBidi" w:hAnsiTheme="majorBidi" w:cstheme="majorBidi"/>
          <w:b/>
          <w:i/>
          <w:iCs/>
          <w:sz w:val="24"/>
          <w:szCs w:val="24"/>
        </w:rPr>
      </w:pPr>
      <w:r w:rsidRPr="0081657E">
        <w:rPr>
          <w:rFonts w:asciiTheme="majorBidi" w:hAnsiTheme="majorBidi" w:cstheme="majorBidi"/>
          <w:b/>
          <w:i/>
          <w:iCs/>
          <w:sz w:val="24"/>
          <w:szCs w:val="24"/>
          <w:u w:val="single"/>
        </w:rPr>
        <w:t>3.2</w:t>
      </w:r>
      <w:r w:rsidR="00900B72" w:rsidRPr="0081657E">
        <w:rPr>
          <w:rFonts w:asciiTheme="majorBidi" w:hAnsiTheme="majorBidi" w:cstheme="majorBidi"/>
          <w:b/>
          <w:i/>
          <w:iCs/>
          <w:sz w:val="24"/>
          <w:szCs w:val="24"/>
          <w:u w:val="single"/>
        </w:rPr>
        <w:t>. Spectroscopie UV-visible (</w:t>
      </w:r>
      <w:r w:rsidR="00F205F1" w:rsidRPr="0081657E">
        <w:rPr>
          <w:rFonts w:asciiTheme="majorBidi" w:hAnsiTheme="majorBidi" w:cstheme="majorBidi"/>
          <w:b/>
          <w:i/>
          <w:iCs/>
          <w:sz w:val="24"/>
          <w:szCs w:val="24"/>
          <w:u w:val="single"/>
        </w:rPr>
        <w:t>Solide</w:t>
      </w:r>
      <w:r w:rsidR="00900B72" w:rsidRPr="0081657E">
        <w:rPr>
          <w:rFonts w:asciiTheme="majorBidi" w:hAnsiTheme="majorBidi" w:cstheme="majorBidi"/>
          <w:b/>
          <w:i/>
          <w:iCs/>
          <w:sz w:val="24"/>
          <w:szCs w:val="24"/>
          <w:u w:val="single"/>
        </w:rPr>
        <w:t>)</w:t>
      </w:r>
      <w:r w:rsidR="0081657E">
        <w:rPr>
          <w:rFonts w:asciiTheme="majorBidi" w:hAnsiTheme="majorBidi" w:cstheme="majorBidi"/>
          <w:b/>
          <w:i/>
          <w:iCs/>
          <w:sz w:val="24"/>
          <w:szCs w:val="24"/>
        </w:rPr>
        <w:t> </w:t>
      </w:r>
    </w:p>
    <w:p w:rsidR="00B728A2" w:rsidRDefault="00F205F1" w:rsidP="00FD483B">
      <w:pPr>
        <w:spacing w:after="0" w:line="360" w:lineRule="auto"/>
        <w:ind w:firstLine="567"/>
        <w:jc w:val="both"/>
      </w:pPr>
      <w:r w:rsidRPr="00982A18">
        <w:rPr>
          <w:rFonts w:asciiTheme="majorBidi" w:hAnsiTheme="majorBidi" w:cstheme="majorBidi"/>
          <w:sz w:val="24"/>
          <w:szCs w:val="24"/>
        </w:rPr>
        <w:t>L’absorption dans les régions visible (400 - 800 nm) et ultraviolette (200 - 400 nm) est largement utilisée pour obtenir des informations sur la structure électronique des catalyseurs.</w:t>
      </w:r>
    </w:p>
    <w:p w:rsidR="00F205F1" w:rsidRPr="00B728A2" w:rsidRDefault="00F205F1" w:rsidP="00FD483B">
      <w:pPr>
        <w:spacing w:after="0" w:line="360" w:lineRule="auto"/>
        <w:ind w:firstLine="284"/>
        <w:jc w:val="both"/>
      </w:pPr>
      <w:r w:rsidRPr="00982A18">
        <w:rPr>
          <w:rFonts w:asciiTheme="majorBidi" w:hAnsiTheme="majorBidi" w:cstheme="majorBidi"/>
          <w:sz w:val="24"/>
          <w:szCs w:val="24"/>
        </w:rPr>
        <w:t>La spectroscopie UV-Visible permet ainsi de caractériser l’état de valence et la coordination des ions des métaux de transition dans des catalyseurs ainsi que leur modification au cours d’une réaction. Dans le cas des solides argileux, la technique de réflexion diffuse est utilisée.</w:t>
      </w:r>
    </w:p>
    <w:p w:rsidR="00365FC7" w:rsidRDefault="00A90324" w:rsidP="00FD483B">
      <w:pPr>
        <w:autoSpaceDE w:val="0"/>
        <w:autoSpaceDN w:val="0"/>
        <w:adjustRightInd w:val="0"/>
        <w:spacing w:after="0" w:line="360" w:lineRule="auto"/>
        <w:ind w:firstLine="284"/>
        <w:jc w:val="both"/>
        <w:rPr>
          <w:rFonts w:asciiTheme="majorBidi" w:hAnsiTheme="majorBidi" w:cstheme="majorBidi"/>
          <w:sz w:val="24"/>
          <w:szCs w:val="24"/>
        </w:rPr>
      </w:pPr>
      <w:r>
        <w:rPr>
          <w:rFonts w:asciiTheme="majorBidi" w:hAnsiTheme="majorBidi" w:cstheme="majorBidi"/>
          <w:b/>
          <w:bCs/>
          <w:iCs/>
          <w:noProof/>
          <w:sz w:val="24"/>
          <w:szCs w:val="24"/>
        </w:rPr>
        <w:drawing>
          <wp:anchor distT="0" distB="0" distL="114300" distR="114300" simplePos="0" relativeHeight="251691008" behindDoc="1" locked="0" layoutInCell="1" allowOverlap="1">
            <wp:simplePos x="0" y="0"/>
            <wp:positionH relativeFrom="column">
              <wp:posOffset>219710</wp:posOffset>
            </wp:positionH>
            <wp:positionV relativeFrom="paragraph">
              <wp:posOffset>2415540</wp:posOffset>
            </wp:positionV>
            <wp:extent cx="3001010" cy="1441450"/>
            <wp:effectExtent l="171450" t="133350" r="370840" b="311150"/>
            <wp:wrapTight wrapText="bothSides">
              <wp:wrapPolygon edited="0">
                <wp:start x="1508" y="-1998"/>
                <wp:lineTo x="411" y="-1713"/>
                <wp:lineTo x="-1234" y="856"/>
                <wp:lineTo x="-1234" y="20839"/>
                <wp:lineTo x="-411" y="25406"/>
                <wp:lineTo x="823" y="26263"/>
                <wp:lineTo x="22212" y="26263"/>
                <wp:lineTo x="22487" y="26263"/>
                <wp:lineTo x="23172" y="25692"/>
                <wp:lineTo x="23172" y="25406"/>
                <wp:lineTo x="23446" y="25406"/>
                <wp:lineTo x="24132" y="21695"/>
                <wp:lineTo x="24132" y="2569"/>
                <wp:lineTo x="24269" y="1142"/>
                <wp:lineTo x="22624" y="-1713"/>
                <wp:lineTo x="21527" y="-1998"/>
                <wp:lineTo x="1508" y="-1998"/>
              </wp:wrapPolygon>
            </wp:wrapTight>
            <wp:docPr id="3" name="Image 3" descr="C:\Documents and Settings\Administrateur\Bureau\NAWEL\DSC0111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eur\Bureau\NAWEL\DSC01115.JPG"/>
                    <pic:cNvPicPr>
                      <a:picLocks noChangeAspect="1" noChangeArrowheads="1"/>
                    </pic:cNvPicPr>
                  </pic:nvPicPr>
                  <pic:blipFill>
                    <a:blip r:embed="rId12" cstate="print"/>
                    <a:srcRect/>
                    <a:stretch>
                      <a:fillRect/>
                    </a:stretch>
                  </pic:blipFill>
                  <pic:spPr bwMode="auto">
                    <a:xfrm>
                      <a:off x="0" y="0"/>
                      <a:ext cx="3001010" cy="1441450"/>
                    </a:xfrm>
                    <a:prstGeom prst="rect">
                      <a:avLst/>
                    </a:prstGeom>
                    <a:ln>
                      <a:noFill/>
                    </a:ln>
                    <a:effectLst>
                      <a:outerShdw blurRad="292100" dist="139700" dir="2700000" algn="tl" rotWithShape="0">
                        <a:srgbClr val="333333">
                          <a:alpha val="65000"/>
                        </a:srgbClr>
                      </a:outerShdw>
                    </a:effectLst>
                  </pic:spPr>
                </pic:pic>
              </a:graphicData>
            </a:graphic>
          </wp:anchor>
        </w:drawing>
      </w:r>
      <w:r w:rsidR="00F205F1" w:rsidRPr="00365FC7">
        <w:rPr>
          <w:rFonts w:asciiTheme="majorBidi" w:hAnsiTheme="majorBidi" w:cstheme="majorBidi"/>
          <w:b/>
          <w:bCs/>
          <w:iCs/>
          <w:sz w:val="24"/>
          <w:szCs w:val="24"/>
        </w:rPr>
        <w:t>Appareillage</w:t>
      </w:r>
      <w:r w:rsidR="00F205F1" w:rsidRPr="0047278F">
        <w:rPr>
          <w:rFonts w:asciiTheme="majorBidi" w:hAnsiTheme="majorBidi" w:cstheme="majorBidi"/>
          <w:iCs/>
          <w:sz w:val="24"/>
          <w:szCs w:val="24"/>
        </w:rPr>
        <w:t> </w:t>
      </w:r>
      <w:r w:rsidR="00F205F1" w:rsidRPr="0047278F">
        <w:rPr>
          <w:rFonts w:asciiTheme="majorBidi" w:hAnsiTheme="majorBidi" w:cstheme="majorBidi"/>
          <w:b/>
          <w:bCs/>
          <w:iCs/>
          <w:sz w:val="24"/>
          <w:szCs w:val="24"/>
        </w:rPr>
        <w:t>:</w:t>
      </w:r>
      <w:r w:rsidR="00F205F1" w:rsidRPr="00982A18">
        <w:rPr>
          <w:rFonts w:asciiTheme="majorBidi" w:hAnsiTheme="majorBidi" w:cstheme="majorBidi"/>
          <w:b/>
          <w:bCs/>
          <w:iCs/>
          <w:sz w:val="24"/>
          <w:szCs w:val="24"/>
        </w:rPr>
        <w:t xml:space="preserve"> </w:t>
      </w:r>
      <w:r w:rsidR="00F205F1" w:rsidRPr="00982A18">
        <w:rPr>
          <w:rFonts w:asciiTheme="majorBidi" w:hAnsiTheme="majorBidi" w:cstheme="majorBidi"/>
          <w:sz w:val="24"/>
          <w:szCs w:val="24"/>
        </w:rPr>
        <w:t xml:space="preserve">Le spectre d’absorption est obtenu après analyse de la lumière transmise ou réfléchie par le milieu absorbant placé entre la source de lumière et le détecteur. Les spectrophotomètres comprennent une ou deux sources polychromatiques, un milieu dispersif qui sépare les différentes fréquences (monochromateur à prisme, ou à réseau ou les deux à la fois), une cellule contenant l’échantillon, un système de détection (photomètre). Le photomètre mesure et compare l’intensité lumineuse avant et après interaction avec la substance. L’intensité émise par la source ainsi que la réponse du détecteur variant avec la fréquence, l’intensité transmise ou réfléchie </w:t>
      </w:r>
      <w:r w:rsidR="00F205F1" w:rsidRPr="00982A18">
        <w:rPr>
          <w:rFonts w:asciiTheme="majorBidi" w:hAnsiTheme="majorBidi" w:cstheme="majorBidi"/>
          <w:b/>
          <w:bCs/>
          <w:i/>
          <w:iCs/>
          <w:sz w:val="24"/>
          <w:szCs w:val="24"/>
        </w:rPr>
        <w:t xml:space="preserve">I </w:t>
      </w:r>
      <w:r w:rsidR="00F205F1" w:rsidRPr="00982A18">
        <w:rPr>
          <w:rFonts w:asciiTheme="majorBidi" w:hAnsiTheme="majorBidi" w:cstheme="majorBidi"/>
          <w:sz w:val="24"/>
          <w:szCs w:val="24"/>
        </w:rPr>
        <w:t xml:space="preserve">doit être comparée à l’intensité incidente </w:t>
      </w:r>
      <w:r w:rsidR="00F205F1" w:rsidRPr="00982A18">
        <w:rPr>
          <w:rFonts w:asciiTheme="majorBidi" w:hAnsiTheme="majorBidi" w:cstheme="majorBidi"/>
          <w:b/>
          <w:bCs/>
          <w:i/>
          <w:iCs/>
          <w:sz w:val="24"/>
          <w:szCs w:val="24"/>
        </w:rPr>
        <w:t>I</w:t>
      </w:r>
      <w:r w:rsidR="00F205F1" w:rsidRPr="00480737">
        <w:rPr>
          <w:rFonts w:asciiTheme="majorBidi" w:hAnsiTheme="majorBidi" w:cstheme="majorBidi"/>
          <w:b/>
          <w:bCs/>
          <w:i/>
          <w:iCs/>
          <w:sz w:val="24"/>
          <w:szCs w:val="24"/>
          <w:vertAlign w:val="subscript"/>
        </w:rPr>
        <w:t>o</w:t>
      </w:r>
      <w:r w:rsidR="00F205F1" w:rsidRPr="00982A18">
        <w:rPr>
          <w:rFonts w:asciiTheme="majorBidi" w:hAnsiTheme="majorBidi" w:cstheme="majorBidi"/>
          <w:b/>
          <w:bCs/>
          <w:i/>
          <w:iCs/>
          <w:sz w:val="24"/>
          <w:szCs w:val="24"/>
        </w:rPr>
        <w:t xml:space="preserve"> </w:t>
      </w:r>
      <w:r w:rsidR="00F205F1" w:rsidRPr="00982A18">
        <w:rPr>
          <w:rFonts w:asciiTheme="majorBidi" w:hAnsiTheme="majorBidi" w:cstheme="majorBidi"/>
          <w:sz w:val="24"/>
          <w:szCs w:val="24"/>
        </w:rPr>
        <w:t>pour toutes les fréquences (double faisceau). Nos analyses sont  effectuées sur un instrument P</w:t>
      </w:r>
      <w:r w:rsidR="00F205F1">
        <w:rPr>
          <w:rFonts w:asciiTheme="majorBidi" w:hAnsiTheme="majorBidi" w:cstheme="majorBidi"/>
          <w:sz w:val="24"/>
          <w:szCs w:val="24"/>
        </w:rPr>
        <w:t xml:space="preserve">erkin Elmer  Lambda 800  UV/Vis </w:t>
      </w:r>
      <w:r w:rsidR="00F205F1" w:rsidRPr="00982A18">
        <w:rPr>
          <w:rFonts w:asciiTheme="majorBidi" w:hAnsiTheme="majorBidi" w:cstheme="majorBidi"/>
          <w:sz w:val="24"/>
          <w:szCs w:val="24"/>
        </w:rPr>
        <w:t>Spectrometer</w:t>
      </w:r>
      <w:r>
        <w:rPr>
          <w:rFonts w:asciiTheme="majorBidi" w:hAnsiTheme="majorBidi" w:cstheme="majorBidi"/>
          <w:sz w:val="24"/>
          <w:szCs w:val="24"/>
        </w:rPr>
        <w:t>.</w:t>
      </w:r>
    </w:p>
    <w:p w:rsidR="00A90324" w:rsidRDefault="00A90324" w:rsidP="00FD483B">
      <w:pPr>
        <w:autoSpaceDE w:val="0"/>
        <w:autoSpaceDN w:val="0"/>
        <w:adjustRightInd w:val="0"/>
        <w:spacing w:after="0" w:line="360" w:lineRule="auto"/>
        <w:ind w:firstLine="284"/>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93056" behindDoc="1" locked="0" layoutInCell="1" allowOverlap="1">
            <wp:simplePos x="0" y="0"/>
            <wp:positionH relativeFrom="column">
              <wp:posOffset>-235585</wp:posOffset>
            </wp:positionH>
            <wp:positionV relativeFrom="paragraph">
              <wp:posOffset>61595</wp:posOffset>
            </wp:positionV>
            <wp:extent cx="1899920" cy="1387475"/>
            <wp:effectExtent l="171450" t="133350" r="367030" b="307975"/>
            <wp:wrapTight wrapText="bothSides">
              <wp:wrapPolygon edited="0">
                <wp:start x="2382" y="-2076"/>
                <wp:lineTo x="650" y="-1779"/>
                <wp:lineTo x="-1949" y="890"/>
                <wp:lineTo x="-1949" y="22836"/>
                <wp:lineTo x="433" y="26395"/>
                <wp:lineTo x="1299" y="26395"/>
                <wp:lineTo x="22524" y="26395"/>
                <wp:lineTo x="23390" y="26395"/>
                <wp:lineTo x="25556" y="22836"/>
                <wp:lineTo x="25556" y="2669"/>
                <wp:lineTo x="25773" y="1186"/>
                <wp:lineTo x="23174" y="-1779"/>
                <wp:lineTo x="21441" y="-2076"/>
                <wp:lineTo x="2382" y="-2076"/>
              </wp:wrapPolygon>
            </wp:wrapTight>
            <wp:docPr id="4" name="Image 4" descr="C:\Documents and Settings\Administrateur\Bureau\NAWEL\DSC0111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eur\Bureau\NAWEL\DSC01118.JPG"/>
                    <pic:cNvPicPr>
                      <a:picLocks noChangeAspect="1" noChangeArrowheads="1"/>
                    </pic:cNvPicPr>
                  </pic:nvPicPr>
                  <pic:blipFill>
                    <a:blip r:embed="rId13" cstate="print"/>
                    <a:srcRect/>
                    <a:stretch>
                      <a:fillRect/>
                    </a:stretch>
                  </pic:blipFill>
                  <pic:spPr bwMode="auto">
                    <a:xfrm>
                      <a:off x="0" y="0"/>
                      <a:ext cx="1899920" cy="1387475"/>
                    </a:xfrm>
                    <a:prstGeom prst="rect">
                      <a:avLst/>
                    </a:prstGeom>
                    <a:ln>
                      <a:noFill/>
                    </a:ln>
                    <a:effectLst>
                      <a:outerShdw blurRad="292100" dist="139700" dir="2700000" algn="tl" rotWithShape="0">
                        <a:srgbClr val="333333">
                          <a:alpha val="65000"/>
                        </a:srgbClr>
                      </a:outerShdw>
                    </a:effectLst>
                  </pic:spPr>
                </pic:pic>
              </a:graphicData>
            </a:graphic>
          </wp:anchor>
        </w:drawing>
      </w:r>
    </w:p>
    <w:p w:rsidR="00A90324" w:rsidRDefault="00A90324" w:rsidP="00FD483B">
      <w:pPr>
        <w:autoSpaceDE w:val="0"/>
        <w:autoSpaceDN w:val="0"/>
        <w:adjustRightInd w:val="0"/>
        <w:spacing w:after="0" w:line="360" w:lineRule="auto"/>
        <w:jc w:val="both"/>
        <w:rPr>
          <w:rFonts w:asciiTheme="majorBidi" w:hAnsiTheme="majorBidi" w:cstheme="majorBidi"/>
          <w:noProof/>
          <w:sz w:val="24"/>
          <w:szCs w:val="24"/>
        </w:rPr>
      </w:pPr>
    </w:p>
    <w:p w:rsidR="00A90324" w:rsidRPr="00365FC7" w:rsidRDefault="00A90324" w:rsidP="00FD483B">
      <w:pPr>
        <w:autoSpaceDE w:val="0"/>
        <w:autoSpaceDN w:val="0"/>
        <w:adjustRightInd w:val="0"/>
        <w:spacing w:after="0" w:line="360" w:lineRule="auto"/>
        <w:ind w:firstLine="284"/>
        <w:jc w:val="both"/>
        <w:rPr>
          <w:rFonts w:asciiTheme="majorBidi" w:hAnsiTheme="majorBidi" w:cstheme="majorBidi"/>
          <w:noProof/>
          <w:sz w:val="24"/>
          <w:szCs w:val="24"/>
        </w:rPr>
      </w:pPr>
    </w:p>
    <w:p w:rsidR="00365FC7" w:rsidRPr="00A90324" w:rsidRDefault="00F205F1" w:rsidP="00FD483B">
      <w:pPr>
        <w:pStyle w:val="Paragraphedeliste"/>
        <w:numPr>
          <w:ilvl w:val="0"/>
          <w:numId w:val="12"/>
        </w:numPr>
        <w:autoSpaceDE w:val="0"/>
        <w:autoSpaceDN w:val="0"/>
        <w:adjustRightInd w:val="0"/>
        <w:ind w:left="6804" w:hanging="4536"/>
        <w:rPr>
          <w:rFonts w:asciiTheme="majorBidi" w:hAnsiTheme="majorBidi" w:cstheme="majorBidi"/>
          <w:i/>
          <w:iCs/>
        </w:rPr>
      </w:pPr>
      <w:r w:rsidRPr="00A90324">
        <w:rPr>
          <w:rFonts w:asciiTheme="majorBidi" w:hAnsiTheme="majorBidi" w:cstheme="majorBidi"/>
          <w:i/>
          <w:iCs/>
        </w:rPr>
        <w:t>(b)</w:t>
      </w:r>
    </w:p>
    <w:p w:rsidR="00801EF0" w:rsidRDefault="000A4C71" w:rsidP="00FD483B">
      <w:pPr>
        <w:autoSpaceDE w:val="0"/>
        <w:autoSpaceDN w:val="0"/>
        <w:adjustRightInd w:val="0"/>
        <w:spacing w:after="0" w:line="360" w:lineRule="auto"/>
        <w:ind w:left="360"/>
        <w:jc w:val="both"/>
        <w:rPr>
          <w:rFonts w:asciiTheme="majorBidi" w:hAnsiTheme="majorBidi" w:cstheme="majorBidi"/>
          <w:i/>
          <w:iCs/>
          <w:sz w:val="20"/>
          <w:szCs w:val="20"/>
        </w:rPr>
      </w:pPr>
      <w:r w:rsidRPr="00C64066">
        <w:rPr>
          <w:rFonts w:asciiTheme="majorBidi" w:hAnsiTheme="majorBidi" w:cstheme="majorBidi"/>
          <w:b/>
          <w:bCs/>
        </w:rPr>
        <w:t>Figure II.1</w:t>
      </w:r>
      <w:r w:rsidR="00F205F1" w:rsidRPr="00C64066">
        <w:rPr>
          <w:rFonts w:asciiTheme="majorBidi" w:hAnsiTheme="majorBidi" w:cstheme="majorBidi"/>
          <w:b/>
          <w:bCs/>
        </w:rPr>
        <w:t xml:space="preserve"> :</w:t>
      </w:r>
      <w:r w:rsidR="00F205F1" w:rsidRPr="00C64066">
        <w:rPr>
          <w:rFonts w:asciiTheme="majorBidi" w:hAnsiTheme="majorBidi" w:cstheme="majorBidi"/>
        </w:rPr>
        <w:t xml:space="preserve"> (a)</w:t>
      </w:r>
      <w:r w:rsidR="00F205F1" w:rsidRPr="00C64066">
        <w:rPr>
          <w:rFonts w:asciiTheme="majorBidi" w:hAnsiTheme="majorBidi" w:cstheme="majorBidi"/>
          <w:b/>
        </w:rPr>
        <w:t xml:space="preserve"> </w:t>
      </w:r>
      <w:r w:rsidR="00F205F1" w:rsidRPr="00C64066">
        <w:rPr>
          <w:rFonts w:asciiTheme="majorBidi" w:hAnsiTheme="majorBidi" w:cstheme="majorBidi"/>
          <w:bCs/>
        </w:rPr>
        <w:t>Appareil de l’Ultraviolet-visible</w:t>
      </w:r>
      <w:r w:rsidR="00F205F1" w:rsidRPr="00C64066">
        <w:rPr>
          <w:rFonts w:asciiTheme="majorBidi" w:hAnsiTheme="majorBidi" w:cstheme="majorBidi"/>
        </w:rPr>
        <w:t xml:space="preserve">  (b) Schéma du système utilisant la réflexion diffuse</w:t>
      </w:r>
      <w:r w:rsidR="00A65B94" w:rsidRPr="00A82506">
        <w:rPr>
          <w:rFonts w:asciiTheme="majorBidi" w:hAnsiTheme="majorBidi" w:cstheme="majorBidi"/>
          <w:i/>
          <w:iCs/>
          <w:sz w:val="20"/>
          <w:szCs w:val="20"/>
        </w:rPr>
        <w:t>.</w:t>
      </w:r>
    </w:p>
    <w:p w:rsidR="00FD483B" w:rsidRPr="00801EF0" w:rsidRDefault="00FD483B" w:rsidP="00FD483B">
      <w:pPr>
        <w:autoSpaceDE w:val="0"/>
        <w:autoSpaceDN w:val="0"/>
        <w:adjustRightInd w:val="0"/>
        <w:spacing w:after="0" w:line="360" w:lineRule="auto"/>
        <w:ind w:left="360"/>
        <w:jc w:val="both"/>
        <w:rPr>
          <w:rFonts w:asciiTheme="majorBidi" w:hAnsiTheme="majorBidi" w:cstheme="majorBidi"/>
          <w:i/>
          <w:iCs/>
          <w:sz w:val="20"/>
          <w:szCs w:val="20"/>
        </w:rPr>
      </w:pPr>
    </w:p>
    <w:p w:rsidR="00751F19" w:rsidRPr="0081657E" w:rsidRDefault="00900B72" w:rsidP="00FD483B">
      <w:pPr>
        <w:autoSpaceDE w:val="0"/>
        <w:autoSpaceDN w:val="0"/>
        <w:adjustRightInd w:val="0"/>
        <w:spacing w:after="0" w:line="360" w:lineRule="auto"/>
        <w:ind w:firstLine="708"/>
        <w:jc w:val="both"/>
        <w:rPr>
          <w:rFonts w:asciiTheme="majorBidi" w:hAnsiTheme="majorBidi" w:cstheme="majorBidi"/>
          <w:b/>
          <w:bCs/>
          <w:i/>
          <w:iCs/>
          <w:color w:val="000000"/>
          <w:sz w:val="24"/>
          <w:szCs w:val="24"/>
          <w:u w:val="single"/>
        </w:rPr>
      </w:pPr>
      <w:r w:rsidRPr="0081657E">
        <w:rPr>
          <w:rFonts w:asciiTheme="majorBidi" w:hAnsiTheme="majorBidi" w:cstheme="majorBidi"/>
          <w:b/>
          <w:bCs/>
          <w:i/>
          <w:iCs/>
          <w:color w:val="000000"/>
          <w:sz w:val="24"/>
          <w:szCs w:val="24"/>
          <w:u w:val="single"/>
        </w:rPr>
        <w:lastRenderedPageBreak/>
        <w:t>3.5</w:t>
      </w:r>
      <w:r w:rsidR="005A248F" w:rsidRPr="0081657E">
        <w:rPr>
          <w:rFonts w:asciiTheme="majorBidi" w:hAnsiTheme="majorBidi" w:cstheme="majorBidi"/>
          <w:b/>
          <w:bCs/>
          <w:i/>
          <w:iCs/>
          <w:color w:val="000000"/>
          <w:sz w:val="24"/>
          <w:szCs w:val="24"/>
          <w:u w:val="single"/>
        </w:rPr>
        <w:t xml:space="preserve">. </w:t>
      </w:r>
      <w:r w:rsidR="00751F19" w:rsidRPr="0081657E">
        <w:rPr>
          <w:rFonts w:asciiTheme="majorBidi" w:hAnsiTheme="majorBidi" w:cstheme="majorBidi"/>
          <w:b/>
          <w:bCs/>
          <w:i/>
          <w:iCs/>
          <w:color w:val="000000"/>
          <w:sz w:val="24"/>
          <w:szCs w:val="24"/>
          <w:u w:val="single"/>
        </w:rPr>
        <w:t>Diffraction des rayons X (DRX)</w:t>
      </w:r>
    </w:p>
    <w:p w:rsidR="00751F19" w:rsidRPr="00DC5F67" w:rsidRDefault="00751F19" w:rsidP="00FD483B">
      <w:pPr>
        <w:pStyle w:val="Paragraphedeliste"/>
        <w:autoSpaceDE w:val="0"/>
        <w:autoSpaceDN w:val="0"/>
        <w:adjustRightInd w:val="0"/>
        <w:ind w:left="0" w:firstLine="284"/>
        <w:rPr>
          <w:rFonts w:asciiTheme="majorBidi" w:hAnsiTheme="majorBidi" w:cstheme="majorBidi"/>
          <w:color w:val="000000"/>
          <w:sz w:val="24"/>
          <w:szCs w:val="24"/>
        </w:rPr>
      </w:pPr>
      <w:r w:rsidRPr="000712F5">
        <w:rPr>
          <w:rFonts w:asciiTheme="majorBidi" w:hAnsiTheme="majorBidi" w:cstheme="majorBidi"/>
          <w:color w:val="000000"/>
          <w:sz w:val="24"/>
          <w:szCs w:val="24"/>
        </w:rPr>
        <w:t xml:space="preserve">Cette technique </w:t>
      </w:r>
      <w:r>
        <w:rPr>
          <w:rFonts w:asciiTheme="majorBidi" w:hAnsiTheme="majorBidi" w:cstheme="majorBidi"/>
          <w:color w:val="000000"/>
          <w:sz w:val="24"/>
          <w:szCs w:val="24"/>
        </w:rPr>
        <w:t>est l’une des plus utilisées pour caractériser les divers</w:t>
      </w:r>
      <w:r w:rsidRPr="000712F5">
        <w:rPr>
          <w:rFonts w:asciiTheme="majorBidi" w:hAnsiTheme="majorBidi" w:cstheme="majorBidi"/>
          <w:color w:val="000000"/>
          <w:sz w:val="24"/>
          <w:szCs w:val="24"/>
        </w:rPr>
        <w:t>es phases cristal</w:t>
      </w:r>
      <w:r>
        <w:rPr>
          <w:rFonts w:asciiTheme="majorBidi" w:hAnsiTheme="majorBidi" w:cstheme="majorBidi"/>
          <w:color w:val="000000"/>
          <w:sz w:val="24"/>
          <w:szCs w:val="24"/>
        </w:rPr>
        <w:t>lines présentes dans un composé. La méthode consiste à envoyer sur l’échantillon solide un faisceau de rayon X de longueur d’onde λ bien définie, du même ordre de grandeur que les distances interatomiques, les rayons X sont alors diffusés par les atomes. Si ceux-ci sont ordonnés en une structure cristalline, les rayons diffusés interfèrent et amènent au phénomène de diffraction. Celui-ci est constitué d’une anode de cuivre λ</w:t>
      </w:r>
      <w:r w:rsidRPr="007B13FC">
        <w:rPr>
          <w:rFonts w:asciiTheme="majorBidi" w:hAnsiTheme="majorBidi" w:cstheme="majorBidi"/>
          <w:color w:val="000000"/>
          <w:sz w:val="24"/>
          <w:szCs w:val="24"/>
          <w:vertAlign w:val="subscript"/>
        </w:rPr>
        <w:t>Kα</w:t>
      </w:r>
      <w:r>
        <w:rPr>
          <w:rFonts w:asciiTheme="majorBidi" w:hAnsiTheme="majorBidi" w:cstheme="majorBidi"/>
          <w:color w:val="000000"/>
          <w:sz w:val="24"/>
          <w:szCs w:val="24"/>
        </w:rPr>
        <w:t>= 1,5406 A° et d’un monochromateur arrière en graphite qui permet l’élimination du rayonnement K</w:t>
      </w:r>
      <w:r w:rsidRPr="007B13FC">
        <w:rPr>
          <w:rFonts w:asciiTheme="majorBidi" w:hAnsiTheme="majorBidi" w:cstheme="majorBidi"/>
          <w:color w:val="000000"/>
          <w:sz w:val="24"/>
          <w:szCs w:val="24"/>
          <w:vertAlign w:val="subscript"/>
        </w:rPr>
        <w:t>β</w:t>
      </w:r>
      <w:r>
        <w:rPr>
          <w:rFonts w:asciiTheme="majorBidi" w:hAnsiTheme="majorBidi" w:cstheme="majorBidi"/>
          <w:color w:val="000000"/>
          <w:sz w:val="24"/>
          <w:szCs w:val="24"/>
        </w:rPr>
        <w:t xml:space="preserve"> et de la fluorescence éventuelle. La préparation de l’échantillon consiste à le broyer afin d’obtenir une poudre fine. Cette poudre est ensuite déposée sur un porte échantillon ou sur un wafer de silicium pur dans le cas de faibles masses (5 mg à 20 mg d’échantillon). L’ensemble est alors maintenu au milieu de la chambre du diffractomètre grâce à un aimant. Le porte échantillon tourne autour d’un axe vertical afin que les cristallites soient orientées d’une manière aléatoire et qu’ainsi aucune direction de diffraction ne soit privilégiée. Les conditions d’analyse peuvent être modifiées (domaine de l’angle incidence des  rayons X, pas et durée d’acquisition) de façon  à affiner les diffractogramme obtenus. Les différentes phases cristallines présentes dans l’échantillon sont identifiées par comparaison des diffractogramme expérimentaux avec les fiches PDF (Powder Diffraction File) de l’ICDD (International Center of Diffraction Data). Enfin, il est possible d’estimer la taille moyenne des cristallites à partir de l’élargissement des pics de diffraction selon la relation de Scherrer :</w:t>
      </w:r>
    </w:p>
    <w:p w:rsidR="00751F19" w:rsidRPr="00751F19" w:rsidRDefault="005A3F15" w:rsidP="00FD483B">
      <w:pPr>
        <w:pStyle w:val="Paragraphedeliste"/>
        <w:autoSpaceDE w:val="0"/>
        <w:autoSpaceDN w:val="0"/>
        <w:adjustRightInd w:val="0"/>
        <w:ind w:left="1134"/>
        <w:rPr>
          <w:rFonts w:asciiTheme="majorBidi" w:hAnsiTheme="majorBidi" w:cstheme="majorBidi"/>
          <w:b/>
          <w:bCs/>
          <w:color w:val="000000"/>
          <w:sz w:val="24"/>
          <w:szCs w:val="24"/>
        </w:rPr>
      </w:pPr>
      <w:r>
        <w:rPr>
          <w:rFonts w:asciiTheme="majorBidi" w:hAnsiTheme="majorBidi" w:cstheme="majorBidi"/>
          <w:b/>
          <w:bCs/>
          <w:color w:val="000000"/>
          <w:sz w:val="24"/>
          <w:szCs w:val="24"/>
        </w:rPr>
        <w:t xml:space="preserve">D= k λ/ </w:t>
      </w:r>
      <w:r w:rsidR="00751F19" w:rsidRPr="00751F19">
        <w:rPr>
          <w:rFonts w:asciiTheme="majorBidi" w:hAnsiTheme="majorBidi" w:cstheme="majorBidi"/>
          <w:b/>
          <w:bCs/>
          <w:color w:val="000000"/>
          <w:sz w:val="24"/>
          <w:szCs w:val="24"/>
        </w:rPr>
        <w:t xml:space="preserve"> cosθ</w:t>
      </w:r>
    </w:p>
    <w:p w:rsidR="00751F19" w:rsidRPr="00751F19" w:rsidRDefault="00751F19" w:rsidP="00FD483B">
      <w:pPr>
        <w:pStyle w:val="Paragraphedeliste"/>
        <w:autoSpaceDE w:val="0"/>
        <w:autoSpaceDN w:val="0"/>
        <w:adjustRightInd w:val="0"/>
        <w:ind w:left="0"/>
        <w:rPr>
          <w:rFonts w:asciiTheme="majorBidi" w:hAnsiTheme="majorBidi" w:cstheme="majorBidi"/>
          <w:color w:val="FF0000"/>
          <w:sz w:val="24"/>
          <w:szCs w:val="24"/>
        </w:rPr>
      </w:pPr>
      <w:r w:rsidRPr="00751F19">
        <w:rPr>
          <w:rFonts w:asciiTheme="majorBidi" w:hAnsiTheme="majorBidi" w:cstheme="majorBidi"/>
          <w:color w:val="000000"/>
          <w:sz w:val="24"/>
          <w:szCs w:val="24"/>
        </w:rPr>
        <w:t>Où d est la taille moyenne des cristallines (A°), k la constante de Scherrer (fonction de la forme des cristallites), λ la longueur d’onde du faisceau incident</w:t>
      </w:r>
      <w:r w:rsidR="00A90324">
        <w:rPr>
          <w:rFonts w:asciiTheme="majorBidi" w:hAnsiTheme="majorBidi" w:cstheme="majorBidi"/>
          <w:color w:val="000000"/>
          <w:sz w:val="24"/>
          <w:szCs w:val="24"/>
        </w:rPr>
        <w:t>.</w:t>
      </w:r>
    </w:p>
    <w:p w:rsidR="006113CB" w:rsidRPr="0081657E" w:rsidRDefault="00F033BA" w:rsidP="00FD483B">
      <w:pPr>
        <w:spacing w:after="0" w:line="360" w:lineRule="auto"/>
        <w:ind w:firstLine="284"/>
        <w:jc w:val="both"/>
        <w:rPr>
          <w:rFonts w:asciiTheme="majorBidi" w:hAnsiTheme="majorBidi" w:cstheme="majorBidi"/>
          <w:color w:val="C00000"/>
          <w:sz w:val="24"/>
          <w:szCs w:val="24"/>
        </w:rPr>
      </w:pPr>
      <w:r w:rsidRPr="0081657E">
        <w:rPr>
          <w:rFonts w:asciiTheme="majorBidi" w:hAnsiTheme="majorBidi" w:cstheme="majorBidi"/>
          <w:b/>
          <w:bCs/>
          <w:i/>
          <w:iCs/>
          <w:color w:val="C00000"/>
          <w:sz w:val="24"/>
          <w:szCs w:val="24"/>
        </w:rPr>
        <w:t>4. Evaluation des performances des catalyseurs en époxydation du cyclohéxène</w:t>
      </w:r>
      <w:r w:rsidR="0081657E">
        <w:rPr>
          <w:rFonts w:asciiTheme="majorBidi" w:hAnsiTheme="majorBidi" w:cstheme="majorBidi"/>
          <w:b/>
          <w:bCs/>
          <w:i/>
          <w:iCs/>
          <w:color w:val="C00000"/>
          <w:sz w:val="24"/>
          <w:szCs w:val="24"/>
        </w:rPr>
        <w:t> :</w:t>
      </w:r>
    </w:p>
    <w:p w:rsidR="00900B72" w:rsidRPr="00F033BA" w:rsidRDefault="005F6BD6" w:rsidP="00FD483B">
      <w:pPr>
        <w:spacing w:after="0" w:line="360" w:lineRule="auto"/>
        <w:ind w:firstLine="567"/>
        <w:jc w:val="both"/>
        <w:rPr>
          <w:rFonts w:asciiTheme="majorBidi" w:hAnsiTheme="majorBidi" w:cstheme="majorBidi"/>
          <w:sz w:val="24"/>
          <w:szCs w:val="24"/>
        </w:rPr>
      </w:pPr>
      <w:r w:rsidRPr="00F033BA">
        <w:rPr>
          <w:rFonts w:asciiTheme="majorBidi" w:hAnsiTheme="majorBidi" w:cstheme="majorBidi"/>
          <w:color w:val="000000"/>
          <w:sz w:val="24"/>
          <w:szCs w:val="24"/>
        </w:rPr>
        <w:t xml:space="preserve">Afin de réaliser les expériences nous avons utilisé les produits suivants : </w:t>
      </w:r>
    </w:p>
    <w:p w:rsidR="005F6BD6" w:rsidRPr="00C64066" w:rsidRDefault="000A4C71" w:rsidP="00FD483B">
      <w:pPr>
        <w:pStyle w:val="Paragraphedeliste"/>
        <w:widowControl w:val="0"/>
        <w:autoSpaceDE w:val="0"/>
        <w:autoSpaceDN w:val="0"/>
        <w:adjustRightInd w:val="0"/>
        <w:ind w:left="786"/>
        <w:rPr>
          <w:rFonts w:asciiTheme="majorBidi" w:hAnsiTheme="majorBidi" w:cstheme="majorBidi"/>
          <w:color w:val="000000"/>
        </w:rPr>
      </w:pPr>
      <w:r w:rsidRPr="00C64066">
        <w:rPr>
          <w:rFonts w:asciiTheme="majorBidi" w:hAnsiTheme="majorBidi" w:cstheme="majorBidi"/>
          <w:b/>
          <w:bCs/>
          <w:color w:val="000000"/>
        </w:rPr>
        <w:t>Tableau II.1 :</w:t>
      </w:r>
      <w:r w:rsidRPr="00C64066">
        <w:rPr>
          <w:rFonts w:asciiTheme="majorBidi" w:hAnsiTheme="majorBidi" w:cstheme="majorBidi"/>
          <w:color w:val="000000"/>
        </w:rPr>
        <w:t xml:space="preserve"> </w:t>
      </w:r>
      <w:r w:rsidR="005F6BD6" w:rsidRPr="00C64066">
        <w:rPr>
          <w:rFonts w:asciiTheme="majorBidi" w:hAnsiTheme="majorBidi" w:cstheme="majorBidi"/>
          <w:color w:val="000000"/>
        </w:rPr>
        <w:t>Caractérisation des réactifs utilisés</w:t>
      </w:r>
    </w:p>
    <w:tbl>
      <w:tblPr>
        <w:tblStyle w:val="Grilledutableau"/>
        <w:tblW w:w="0" w:type="auto"/>
        <w:jc w:val="center"/>
        <w:tblInd w:w="786" w:type="dxa"/>
        <w:tblLook w:val="04A0"/>
      </w:tblPr>
      <w:tblGrid>
        <w:gridCol w:w="3433"/>
        <w:gridCol w:w="2299"/>
        <w:gridCol w:w="2347"/>
      </w:tblGrid>
      <w:tr w:rsidR="005F6BD6" w:rsidTr="000F11FC">
        <w:trPr>
          <w:jc w:val="center"/>
        </w:trPr>
        <w:tc>
          <w:tcPr>
            <w:tcW w:w="3433"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Réactif</w:t>
            </w:r>
          </w:p>
        </w:tc>
        <w:tc>
          <w:tcPr>
            <w:tcW w:w="2299"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Origine</w:t>
            </w:r>
          </w:p>
        </w:tc>
        <w:tc>
          <w:tcPr>
            <w:tcW w:w="2347"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Pureté (%)</w:t>
            </w:r>
          </w:p>
        </w:tc>
      </w:tr>
      <w:tr w:rsidR="005F6BD6" w:rsidTr="000F11FC">
        <w:trPr>
          <w:jc w:val="center"/>
        </w:trPr>
        <w:tc>
          <w:tcPr>
            <w:tcW w:w="3433"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Cyclohéxène</w:t>
            </w:r>
          </w:p>
        </w:tc>
        <w:tc>
          <w:tcPr>
            <w:tcW w:w="2299"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Aldrich</w:t>
            </w:r>
          </w:p>
        </w:tc>
        <w:tc>
          <w:tcPr>
            <w:tcW w:w="2347"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99</w:t>
            </w:r>
          </w:p>
        </w:tc>
      </w:tr>
      <w:tr w:rsidR="005F6BD6" w:rsidTr="000F11FC">
        <w:trPr>
          <w:jc w:val="center"/>
        </w:trPr>
        <w:tc>
          <w:tcPr>
            <w:tcW w:w="3433"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Hydroperoxyde de tertiobutyle</w:t>
            </w:r>
          </w:p>
        </w:tc>
        <w:tc>
          <w:tcPr>
            <w:tcW w:w="2299"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Aldrich Chemistry</w:t>
            </w:r>
          </w:p>
        </w:tc>
        <w:tc>
          <w:tcPr>
            <w:tcW w:w="2347"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70</w:t>
            </w:r>
          </w:p>
        </w:tc>
      </w:tr>
      <w:tr w:rsidR="005F6BD6" w:rsidTr="000F11FC">
        <w:trPr>
          <w:jc w:val="center"/>
        </w:trPr>
        <w:tc>
          <w:tcPr>
            <w:tcW w:w="3433"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Triphenylphosphine</w:t>
            </w:r>
          </w:p>
        </w:tc>
        <w:tc>
          <w:tcPr>
            <w:tcW w:w="2299"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Sigma-Aldrich</w:t>
            </w:r>
          </w:p>
        </w:tc>
        <w:tc>
          <w:tcPr>
            <w:tcW w:w="2347"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99</w:t>
            </w:r>
          </w:p>
        </w:tc>
      </w:tr>
      <w:tr w:rsidR="005F6BD6" w:rsidTr="000F11FC">
        <w:trPr>
          <w:jc w:val="center"/>
        </w:trPr>
        <w:tc>
          <w:tcPr>
            <w:tcW w:w="3433" w:type="dxa"/>
            <w:vAlign w:val="center"/>
          </w:tcPr>
          <w:p w:rsidR="005F6BD6" w:rsidRDefault="005F6BD6"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Heptane</w:t>
            </w:r>
          </w:p>
        </w:tc>
        <w:tc>
          <w:tcPr>
            <w:tcW w:w="2299"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Fluka</w:t>
            </w:r>
          </w:p>
        </w:tc>
        <w:tc>
          <w:tcPr>
            <w:tcW w:w="2347" w:type="dxa"/>
            <w:vAlign w:val="center"/>
          </w:tcPr>
          <w:p w:rsidR="005F6BD6" w:rsidRDefault="00E7000C" w:rsidP="000F11FC">
            <w:pPr>
              <w:pStyle w:val="Paragraphedeliste"/>
              <w:widowControl w:val="0"/>
              <w:autoSpaceDE w:val="0"/>
              <w:autoSpaceDN w:val="0"/>
              <w:adjustRightInd w:val="0"/>
              <w:ind w:left="0"/>
              <w:jc w:val="center"/>
              <w:rPr>
                <w:rFonts w:asciiTheme="majorBidi" w:hAnsiTheme="majorBidi" w:cstheme="majorBidi"/>
                <w:color w:val="000000"/>
                <w:sz w:val="24"/>
                <w:szCs w:val="24"/>
              </w:rPr>
            </w:pPr>
            <w:r>
              <w:rPr>
                <w:rFonts w:asciiTheme="majorBidi" w:hAnsiTheme="majorBidi" w:cstheme="majorBidi"/>
                <w:color w:val="000000"/>
                <w:sz w:val="24"/>
                <w:szCs w:val="24"/>
              </w:rPr>
              <w:t>99</w:t>
            </w:r>
          </w:p>
        </w:tc>
      </w:tr>
    </w:tbl>
    <w:p w:rsidR="00A90324" w:rsidRDefault="00A90324" w:rsidP="00FD483B">
      <w:pPr>
        <w:pStyle w:val="Paragraphedeliste"/>
        <w:widowControl w:val="0"/>
        <w:autoSpaceDE w:val="0"/>
        <w:autoSpaceDN w:val="0"/>
        <w:adjustRightInd w:val="0"/>
        <w:ind w:left="0" w:firstLine="567"/>
        <w:rPr>
          <w:rFonts w:asciiTheme="majorBidi" w:hAnsiTheme="majorBidi" w:cstheme="majorBidi"/>
          <w:color w:val="000000"/>
          <w:sz w:val="24"/>
          <w:szCs w:val="24"/>
        </w:rPr>
      </w:pPr>
    </w:p>
    <w:p w:rsidR="005F6BD6" w:rsidRDefault="005F6BD6" w:rsidP="00FD483B">
      <w:pPr>
        <w:pStyle w:val="Paragraphedeliste"/>
        <w:widowControl w:val="0"/>
        <w:autoSpaceDE w:val="0"/>
        <w:autoSpaceDN w:val="0"/>
        <w:adjustRightInd w:val="0"/>
        <w:ind w:left="0" w:firstLine="567"/>
        <w:rPr>
          <w:rFonts w:asciiTheme="majorBidi" w:hAnsiTheme="majorBidi" w:cstheme="majorBidi"/>
          <w:color w:val="000000"/>
          <w:sz w:val="24"/>
          <w:szCs w:val="24"/>
        </w:rPr>
      </w:pPr>
      <w:r>
        <w:rPr>
          <w:rFonts w:asciiTheme="majorBidi" w:hAnsiTheme="majorBidi" w:cstheme="majorBidi"/>
          <w:color w:val="000000"/>
          <w:sz w:val="24"/>
          <w:szCs w:val="24"/>
        </w:rPr>
        <w:t>L’oxydant utilisé, l’hydroperoxyde de tertiobutyle (TBHP), est commercialisé en solution aqueuse avec une concentration en TBHP de 70</w:t>
      </w:r>
      <w:r w:rsidR="00D45AEF">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en masse. Aussi, il convient donc préalablement </w:t>
      </w:r>
      <w:r>
        <w:rPr>
          <w:rFonts w:asciiTheme="majorBidi" w:hAnsiTheme="majorBidi" w:cstheme="majorBidi"/>
          <w:color w:val="000000"/>
          <w:sz w:val="24"/>
          <w:szCs w:val="24"/>
        </w:rPr>
        <w:lastRenderedPageBreak/>
        <w:t>d’éliminer la phase aqueuse. Pour cela, 20</w:t>
      </w:r>
      <w:r w:rsidR="00D45AEF">
        <w:rPr>
          <w:rFonts w:asciiTheme="majorBidi" w:hAnsiTheme="majorBidi" w:cstheme="majorBidi"/>
          <w:color w:val="000000"/>
          <w:sz w:val="24"/>
          <w:szCs w:val="24"/>
        </w:rPr>
        <w:t xml:space="preserve"> </w:t>
      </w:r>
      <w:r>
        <w:rPr>
          <w:rFonts w:asciiTheme="majorBidi" w:hAnsiTheme="majorBidi" w:cstheme="majorBidi"/>
          <w:color w:val="000000"/>
          <w:sz w:val="24"/>
          <w:szCs w:val="24"/>
        </w:rPr>
        <w:t>m</w:t>
      </w:r>
      <w:r w:rsidR="00D45AEF">
        <w:rPr>
          <w:rFonts w:asciiTheme="majorBidi" w:hAnsiTheme="majorBidi" w:cstheme="majorBidi"/>
          <w:color w:val="000000"/>
          <w:sz w:val="24"/>
          <w:szCs w:val="24"/>
        </w:rPr>
        <w:t>L d’heptane sont mélangés à 5,5 mL</w:t>
      </w:r>
      <w:r>
        <w:rPr>
          <w:rFonts w:asciiTheme="majorBidi" w:hAnsiTheme="majorBidi" w:cstheme="majorBidi"/>
          <w:color w:val="000000"/>
          <w:sz w:val="24"/>
          <w:szCs w:val="24"/>
        </w:rPr>
        <w:t xml:space="preserve"> de TBHP en solution aqu</w:t>
      </w:r>
      <w:r w:rsidR="00D45AEF">
        <w:rPr>
          <w:rFonts w:asciiTheme="majorBidi" w:hAnsiTheme="majorBidi" w:cstheme="majorBidi"/>
          <w:color w:val="000000"/>
          <w:sz w:val="24"/>
          <w:szCs w:val="24"/>
        </w:rPr>
        <w:t>euse dans un erlen</w:t>
      </w:r>
      <w:r>
        <w:rPr>
          <w:rFonts w:asciiTheme="majorBidi" w:hAnsiTheme="majorBidi" w:cstheme="majorBidi"/>
          <w:color w:val="000000"/>
          <w:sz w:val="24"/>
          <w:szCs w:val="24"/>
        </w:rPr>
        <w:t>meyer pendant 24 h. La phase organique est par la suite séparée de la phase aqueuse à l’aide d’une ampoule à décanter.</w:t>
      </w:r>
    </w:p>
    <w:p w:rsidR="003D289E" w:rsidRDefault="005F6BD6" w:rsidP="00FD483B">
      <w:pPr>
        <w:pStyle w:val="Paragraphedeliste"/>
        <w:widowControl w:val="0"/>
        <w:autoSpaceDE w:val="0"/>
        <w:autoSpaceDN w:val="0"/>
        <w:adjustRightInd w:val="0"/>
        <w:ind w:left="0" w:firstLine="567"/>
        <w:rPr>
          <w:rFonts w:asciiTheme="majorBidi" w:hAnsiTheme="majorBidi" w:cstheme="majorBidi"/>
          <w:color w:val="000000"/>
          <w:sz w:val="24"/>
          <w:szCs w:val="24"/>
        </w:rPr>
      </w:pPr>
      <w:r>
        <w:rPr>
          <w:rFonts w:asciiTheme="majorBidi" w:hAnsiTheme="majorBidi" w:cstheme="majorBidi"/>
          <w:color w:val="000000"/>
          <w:sz w:val="24"/>
          <w:szCs w:val="24"/>
        </w:rPr>
        <w:t xml:space="preserve">L’analyse par </w:t>
      </w:r>
      <w:r w:rsidR="003D289E">
        <w:rPr>
          <w:rFonts w:asciiTheme="majorBidi" w:hAnsiTheme="majorBidi" w:cstheme="majorBidi"/>
          <w:color w:val="000000"/>
          <w:sz w:val="24"/>
          <w:szCs w:val="24"/>
        </w:rPr>
        <w:t>titrage iodométrique de la phase aqueuse</w:t>
      </w:r>
      <w:r w:rsidR="00622AD1">
        <w:rPr>
          <w:rFonts w:asciiTheme="majorBidi" w:hAnsiTheme="majorBidi" w:cstheme="majorBidi"/>
          <w:color w:val="000000"/>
          <w:sz w:val="24"/>
          <w:szCs w:val="24"/>
        </w:rPr>
        <w:t xml:space="preserve"> et la phase organique ont</w:t>
      </w:r>
      <w:r w:rsidR="003D289E">
        <w:rPr>
          <w:rFonts w:asciiTheme="majorBidi" w:hAnsiTheme="majorBidi" w:cstheme="majorBidi"/>
          <w:color w:val="000000"/>
          <w:sz w:val="24"/>
          <w:szCs w:val="24"/>
        </w:rPr>
        <w:t xml:space="preserve"> montré que plus de 90</w:t>
      </w:r>
      <w:r w:rsidR="00D45AEF">
        <w:rPr>
          <w:rFonts w:asciiTheme="majorBidi" w:hAnsiTheme="majorBidi" w:cstheme="majorBidi"/>
          <w:color w:val="000000"/>
          <w:sz w:val="24"/>
          <w:szCs w:val="24"/>
        </w:rPr>
        <w:t xml:space="preserve"> % de TBHP est transféré dans l’heptane</w:t>
      </w:r>
      <w:r w:rsidR="003D289E">
        <w:rPr>
          <w:rFonts w:asciiTheme="majorBidi" w:hAnsiTheme="majorBidi" w:cstheme="majorBidi"/>
          <w:color w:val="000000"/>
          <w:sz w:val="24"/>
          <w:szCs w:val="24"/>
        </w:rPr>
        <w:t>.</w:t>
      </w:r>
    </w:p>
    <w:p w:rsidR="000079B8" w:rsidRDefault="000079B8" w:rsidP="00FD483B">
      <w:pPr>
        <w:pStyle w:val="Paragraphedeliste"/>
        <w:widowControl w:val="0"/>
        <w:autoSpaceDE w:val="0"/>
        <w:autoSpaceDN w:val="0"/>
        <w:adjustRightInd w:val="0"/>
        <w:ind w:left="0" w:firstLine="284"/>
        <w:rPr>
          <w:rFonts w:asciiTheme="majorBidi" w:hAnsiTheme="majorBidi" w:cstheme="majorBidi"/>
          <w:color w:val="000000"/>
          <w:sz w:val="24"/>
          <w:szCs w:val="24"/>
        </w:rPr>
      </w:pPr>
    </w:p>
    <w:p w:rsidR="003D289E" w:rsidRDefault="003D289E" w:rsidP="00FD483B">
      <w:pPr>
        <w:pStyle w:val="Paragraphedeliste"/>
        <w:widowControl w:val="0"/>
        <w:autoSpaceDE w:val="0"/>
        <w:autoSpaceDN w:val="0"/>
        <w:adjustRightInd w:val="0"/>
        <w:ind w:left="0" w:firstLine="284"/>
        <w:rPr>
          <w:rFonts w:asciiTheme="majorBidi" w:hAnsiTheme="majorBidi" w:cstheme="majorBidi"/>
          <w:color w:val="000000"/>
          <w:sz w:val="24"/>
          <w:szCs w:val="24"/>
        </w:rPr>
      </w:pPr>
      <w:r>
        <w:rPr>
          <w:rFonts w:asciiTheme="majorBidi" w:hAnsiTheme="majorBidi" w:cstheme="majorBidi"/>
          <w:color w:val="000000"/>
          <w:sz w:val="24"/>
          <w:szCs w:val="24"/>
        </w:rPr>
        <w:t>Le dosage iodométrique est se fait comme suit :</w:t>
      </w:r>
    </w:p>
    <w:p w:rsidR="00751F19" w:rsidRPr="000079B8" w:rsidRDefault="00C64066" w:rsidP="00FD483B">
      <w:pPr>
        <w:widowControl w:val="0"/>
        <w:autoSpaceDE w:val="0"/>
        <w:autoSpaceDN w:val="0"/>
        <w:adjustRightInd w:val="0"/>
        <w:spacing w:after="0" w:line="360" w:lineRule="auto"/>
        <w:ind w:firstLine="567"/>
        <w:jc w:val="both"/>
        <w:rPr>
          <w:rFonts w:asciiTheme="majorBidi" w:hAnsiTheme="majorBidi" w:cstheme="majorBidi"/>
          <w:b/>
          <w:bCs/>
          <w:i/>
          <w:iCs/>
          <w:sz w:val="24"/>
          <w:szCs w:val="24"/>
          <w:u w:val="single"/>
        </w:rPr>
      </w:pPr>
      <w:r>
        <w:rPr>
          <w:rFonts w:asciiTheme="majorBidi" w:hAnsiTheme="majorBidi" w:cstheme="majorBidi"/>
          <w:b/>
          <w:bCs/>
          <w:i/>
          <w:iCs/>
          <w:sz w:val="24"/>
          <w:szCs w:val="24"/>
        </w:rPr>
        <w:t xml:space="preserve"> </w:t>
      </w:r>
      <w:r w:rsidR="00751F19" w:rsidRPr="000079B8">
        <w:rPr>
          <w:rFonts w:asciiTheme="majorBidi" w:hAnsiTheme="majorBidi" w:cstheme="majorBidi"/>
          <w:b/>
          <w:bCs/>
          <w:i/>
          <w:iCs/>
          <w:sz w:val="24"/>
          <w:szCs w:val="24"/>
          <w:u w:val="single"/>
        </w:rPr>
        <w:t>a)- Phase aqueuse</w:t>
      </w:r>
    </w:p>
    <w:p w:rsidR="007A0DB4" w:rsidRDefault="003D32CA" w:rsidP="00FD483B">
      <w:pPr>
        <w:spacing w:after="0" w:line="360" w:lineRule="auto"/>
        <w:ind w:firstLine="284"/>
        <w:jc w:val="both"/>
        <w:rPr>
          <w:rFonts w:ascii="Times New Roman" w:hAnsi="Times New Roman" w:cs="Times New Roman"/>
          <w:sz w:val="24"/>
          <w:szCs w:val="24"/>
        </w:rPr>
      </w:pPr>
      <w:r w:rsidRPr="007A0DB4">
        <w:rPr>
          <w:rFonts w:asciiTheme="majorBidi" w:hAnsiTheme="majorBidi" w:cstheme="majorBidi"/>
          <w:sz w:val="24"/>
          <w:szCs w:val="24"/>
        </w:rPr>
        <w:t xml:space="preserve">Dans un </w:t>
      </w:r>
      <w:r w:rsidR="007A0DB4" w:rsidRPr="007A0DB4">
        <w:rPr>
          <w:rFonts w:asciiTheme="majorBidi" w:hAnsiTheme="majorBidi" w:cstheme="majorBidi"/>
          <w:sz w:val="24"/>
          <w:szCs w:val="24"/>
        </w:rPr>
        <w:t>bécher</w:t>
      </w:r>
      <w:r w:rsidRPr="007A0DB4">
        <w:rPr>
          <w:rFonts w:asciiTheme="majorBidi" w:hAnsiTheme="majorBidi" w:cstheme="majorBidi"/>
          <w:sz w:val="24"/>
          <w:szCs w:val="24"/>
        </w:rPr>
        <w:t xml:space="preserve">, 1 mL de la phase </w:t>
      </w:r>
      <w:r w:rsidR="007A0DB4" w:rsidRPr="007A0DB4">
        <w:rPr>
          <w:rFonts w:asciiTheme="majorBidi" w:hAnsiTheme="majorBidi" w:cstheme="majorBidi"/>
          <w:sz w:val="24"/>
          <w:szCs w:val="24"/>
        </w:rPr>
        <w:t>aqueuse</w:t>
      </w:r>
      <w:r w:rsidRPr="007A0DB4">
        <w:rPr>
          <w:rFonts w:asciiTheme="majorBidi" w:hAnsiTheme="majorBidi" w:cstheme="majorBidi"/>
          <w:sz w:val="24"/>
          <w:szCs w:val="24"/>
        </w:rPr>
        <w:t xml:space="preserve"> est diluée dans 10 mL d’eau. Dans un autre </w:t>
      </w:r>
      <w:r w:rsidR="007A0DB4" w:rsidRPr="007A0DB4">
        <w:rPr>
          <w:rFonts w:asciiTheme="majorBidi" w:hAnsiTheme="majorBidi" w:cstheme="majorBidi"/>
          <w:sz w:val="24"/>
          <w:szCs w:val="24"/>
        </w:rPr>
        <w:t>bécher</w:t>
      </w:r>
      <w:r w:rsidRPr="007A0DB4">
        <w:rPr>
          <w:rFonts w:asciiTheme="majorBidi" w:hAnsiTheme="majorBidi" w:cstheme="majorBidi"/>
          <w:sz w:val="24"/>
          <w:szCs w:val="24"/>
        </w:rPr>
        <w:t xml:space="preserve">, 1 g de </w:t>
      </w:r>
      <w:r w:rsidR="007A0DB4" w:rsidRPr="007A0DB4">
        <w:rPr>
          <w:rFonts w:asciiTheme="majorBidi" w:hAnsiTheme="majorBidi" w:cstheme="majorBidi"/>
          <w:sz w:val="24"/>
          <w:szCs w:val="24"/>
        </w:rPr>
        <w:t>KI est dissout dans 20 mL d’eau</w:t>
      </w:r>
      <w:r w:rsidR="007A0DB4">
        <w:rPr>
          <w:rFonts w:asciiTheme="majorBidi" w:hAnsiTheme="majorBidi" w:cstheme="majorBidi"/>
          <w:sz w:val="24"/>
          <w:szCs w:val="24"/>
        </w:rPr>
        <w:t xml:space="preserve"> contenant 0,5 mL d’acide sulfurique, ensuite 1 mL de la solution de la phase aqueuse d</w:t>
      </w:r>
      <w:r w:rsidR="000F11FC">
        <w:rPr>
          <w:rFonts w:asciiTheme="majorBidi" w:hAnsiTheme="majorBidi" w:cstheme="majorBidi"/>
          <w:sz w:val="24"/>
          <w:szCs w:val="24"/>
        </w:rPr>
        <w:t>iluée est ajouté au mélange KI-</w:t>
      </w:r>
      <w:r w:rsidR="007A0DB4">
        <w:rPr>
          <w:rFonts w:asciiTheme="majorBidi" w:hAnsiTheme="majorBidi" w:cstheme="majorBidi"/>
          <w:sz w:val="24"/>
          <w:szCs w:val="24"/>
        </w:rPr>
        <w:t xml:space="preserve">acide. </w:t>
      </w:r>
      <w:r w:rsidR="007A0DB4" w:rsidRPr="007A0DB4">
        <w:rPr>
          <w:rFonts w:ascii="Times New Roman" w:hAnsi="Times New Roman" w:cs="Times New Roman"/>
          <w:sz w:val="24"/>
          <w:szCs w:val="24"/>
        </w:rPr>
        <w:t>La solution devient jaunâtre par formation des ions I</w:t>
      </w:r>
      <w:r w:rsidR="007A0DB4" w:rsidRPr="007A0DB4">
        <w:rPr>
          <w:rFonts w:ascii="Times New Roman" w:hAnsi="Times New Roman" w:cs="Times New Roman"/>
          <w:sz w:val="24"/>
          <w:szCs w:val="24"/>
          <w:vertAlign w:val="subscript"/>
        </w:rPr>
        <w:t>3</w:t>
      </w:r>
      <w:r w:rsidR="007A0DB4" w:rsidRPr="007A0DB4">
        <w:rPr>
          <w:rFonts w:ascii="Times New Roman" w:hAnsi="Times New Roman" w:cs="Times New Roman"/>
          <w:sz w:val="24"/>
          <w:szCs w:val="24"/>
          <w:vertAlign w:val="superscript"/>
        </w:rPr>
        <w:t>-</w:t>
      </w:r>
      <w:r w:rsidR="007A0DB4" w:rsidRPr="007A0DB4">
        <w:rPr>
          <w:rFonts w:ascii="Times New Roman" w:hAnsi="Times New Roman" w:cs="Times New Roman"/>
          <w:sz w:val="24"/>
          <w:szCs w:val="24"/>
        </w:rPr>
        <w:t>. Le mélange est laissé sous agitation pendant 30 min à 40 °C puis titrer avec le thiosulfate de sodium NaS</w:t>
      </w:r>
      <w:r w:rsidR="007A0DB4" w:rsidRPr="007A0DB4">
        <w:rPr>
          <w:rFonts w:ascii="Times New Roman" w:hAnsi="Times New Roman" w:cs="Times New Roman"/>
          <w:sz w:val="24"/>
          <w:szCs w:val="24"/>
          <w:vertAlign w:val="subscript"/>
        </w:rPr>
        <w:t>2</w:t>
      </w:r>
      <w:r w:rsidR="007A0DB4" w:rsidRPr="007A0DB4">
        <w:rPr>
          <w:rFonts w:ascii="Times New Roman" w:hAnsi="Times New Roman" w:cs="Times New Roman"/>
          <w:sz w:val="24"/>
          <w:szCs w:val="24"/>
        </w:rPr>
        <w:t>O</w:t>
      </w:r>
      <w:r w:rsidR="007A0DB4" w:rsidRPr="007A0DB4">
        <w:rPr>
          <w:rFonts w:ascii="Times New Roman" w:hAnsi="Times New Roman" w:cs="Times New Roman"/>
          <w:sz w:val="24"/>
          <w:szCs w:val="24"/>
          <w:vertAlign w:val="subscript"/>
        </w:rPr>
        <w:t xml:space="preserve">3 </w:t>
      </w:r>
      <w:r w:rsidR="007A0DB4" w:rsidRPr="007A0DB4">
        <w:rPr>
          <w:rFonts w:ascii="Times New Roman" w:hAnsi="Times New Roman" w:cs="Times New Roman"/>
          <w:sz w:val="24"/>
          <w:szCs w:val="24"/>
        </w:rPr>
        <w:t xml:space="preserve"> (0,1 mol.L</w:t>
      </w:r>
      <w:r w:rsidR="007A0DB4" w:rsidRPr="007A0DB4">
        <w:rPr>
          <w:rFonts w:ascii="Times New Roman" w:hAnsi="Times New Roman" w:cs="Times New Roman"/>
          <w:sz w:val="24"/>
          <w:szCs w:val="24"/>
          <w:vertAlign w:val="superscript"/>
        </w:rPr>
        <w:t>-1</w:t>
      </w:r>
      <w:r w:rsidR="007A0DB4" w:rsidRPr="007A0DB4">
        <w:rPr>
          <w:rFonts w:ascii="Times New Roman" w:hAnsi="Times New Roman" w:cs="Times New Roman"/>
          <w:sz w:val="24"/>
          <w:szCs w:val="24"/>
        </w:rPr>
        <w:t>).</w:t>
      </w:r>
    </w:p>
    <w:p w:rsidR="007A0DB4" w:rsidRPr="003D289E" w:rsidRDefault="007A0DB4" w:rsidP="00FD483B">
      <w:pPr>
        <w:tabs>
          <w:tab w:val="right" w:pos="9360"/>
        </w:tabs>
        <w:spacing w:after="0" w:line="360" w:lineRule="auto"/>
        <w:ind w:firstLine="1416"/>
        <w:jc w:val="both"/>
        <w:rPr>
          <w:rFonts w:ascii="Times New Roman" w:hAnsi="Times New Roman" w:cs="Times New Roman"/>
          <w:sz w:val="24"/>
          <w:szCs w:val="24"/>
          <w:lang w:val="it-IT"/>
        </w:rPr>
      </w:pPr>
      <w:r w:rsidRPr="003D289E">
        <w:rPr>
          <w:rFonts w:ascii="Times New Roman" w:hAnsi="Times New Roman" w:cs="Times New Roman"/>
          <w:sz w:val="24"/>
          <w:szCs w:val="24"/>
          <w:lang w:val="it-IT"/>
        </w:rPr>
        <w:t>2 S</w:t>
      </w:r>
      <w:r w:rsidRPr="003D289E">
        <w:rPr>
          <w:rFonts w:ascii="Times New Roman" w:hAnsi="Times New Roman" w:cs="Times New Roman"/>
          <w:sz w:val="24"/>
          <w:szCs w:val="24"/>
          <w:vertAlign w:val="subscript"/>
          <w:lang w:val="it-IT"/>
        </w:rPr>
        <w:t>2</w:t>
      </w:r>
      <w:r w:rsidRPr="003D289E">
        <w:rPr>
          <w:rFonts w:ascii="Times New Roman" w:hAnsi="Times New Roman" w:cs="Times New Roman"/>
          <w:sz w:val="24"/>
          <w:szCs w:val="24"/>
          <w:lang w:val="it-IT"/>
        </w:rPr>
        <w:t>O</w:t>
      </w:r>
      <w:r w:rsidRPr="003D289E">
        <w:rPr>
          <w:rFonts w:ascii="Times New Roman" w:hAnsi="Times New Roman" w:cs="Times New Roman"/>
          <w:sz w:val="24"/>
          <w:szCs w:val="24"/>
          <w:vertAlign w:val="subscript"/>
          <w:lang w:val="it-IT"/>
        </w:rPr>
        <w:t>3</w:t>
      </w:r>
      <w:r w:rsidRPr="003D289E">
        <w:rPr>
          <w:rFonts w:ascii="Times New Roman" w:hAnsi="Times New Roman" w:cs="Times New Roman"/>
          <w:sz w:val="24"/>
          <w:szCs w:val="24"/>
          <w:vertAlign w:val="superscript"/>
          <w:lang w:val="it-IT"/>
        </w:rPr>
        <w:t>2-</w:t>
      </w:r>
      <w:r w:rsidRPr="003D289E">
        <w:rPr>
          <w:rFonts w:ascii="Times New Roman" w:hAnsi="Times New Roman" w:cs="Times New Roman"/>
          <w:sz w:val="24"/>
          <w:szCs w:val="24"/>
          <w:lang w:val="it-IT"/>
        </w:rPr>
        <w:t>(aq) + I</w:t>
      </w:r>
      <w:r w:rsidRPr="003D289E">
        <w:rPr>
          <w:rFonts w:ascii="Times New Roman" w:hAnsi="Times New Roman" w:cs="Times New Roman"/>
          <w:sz w:val="24"/>
          <w:szCs w:val="24"/>
          <w:vertAlign w:val="subscript"/>
          <w:lang w:val="it-IT"/>
        </w:rPr>
        <w:t>3</w:t>
      </w:r>
      <w:r w:rsidRPr="003D289E">
        <w:rPr>
          <w:rFonts w:ascii="Times New Roman" w:hAnsi="Times New Roman" w:cs="Times New Roman"/>
          <w:sz w:val="24"/>
          <w:szCs w:val="24"/>
          <w:vertAlign w:val="superscript"/>
          <w:lang w:val="it-IT"/>
        </w:rPr>
        <w:t>-</w:t>
      </w:r>
      <w:r w:rsidRPr="003D289E">
        <w:rPr>
          <w:rFonts w:ascii="Times New Roman" w:hAnsi="Times New Roman" w:cs="Times New Roman"/>
          <w:sz w:val="24"/>
          <w:szCs w:val="24"/>
          <w:lang w:val="it-IT"/>
        </w:rPr>
        <w:t xml:space="preserve">(aq)  </w:t>
      </w:r>
      <w:r w:rsidRPr="003D289E">
        <w:rPr>
          <w:rFonts w:ascii="Times New Roman" w:hAnsi="Times New Roman" w:cs="Times New Roman"/>
          <w:sz w:val="24"/>
          <w:szCs w:val="24"/>
          <w:lang w:val="it-IT"/>
        </w:rPr>
        <w:sym w:font="Wingdings" w:char="F0E8"/>
      </w:r>
      <w:r w:rsidRPr="003D289E">
        <w:rPr>
          <w:rFonts w:ascii="Times New Roman" w:hAnsi="Times New Roman" w:cs="Times New Roman"/>
          <w:sz w:val="24"/>
          <w:szCs w:val="24"/>
          <w:lang w:val="it-IT"/>
        </w:rPr>
        <w:t xml:space="preserve">  S</w:t>
      </w:r>
      <w:r w:rsidRPr="003D289E">
        <w:rPr>
          <w:rFonts w:ascii="Times New Roman" w:hAnsi="Times New Roman" w:cs="Times New Roman"/>
          <w:sz w:val="24"/>
          <w:szCs w:val="24"/>
          <w:vertAlign w:val="subscript"/>
          <w:lang w:val="it-IT"/>
        </w:rPr>
        <w:t>4</w:t>
      </w:r>
      <w:r w:rsidRPr="003D289E">
        <w:rPr>
          <w:rFonts w:ascii="Times New Roman" w:hAnsi="Times New Roman" w:cs="Times New Roman"/>
          <w:sz w:val="24"/>
          <w:szCs w:val="24"/>
          <w:lang w:val="it-IT"/>
        </w:rPr>
        <w:t>O</w:t>
      </w:r>
      <w:r w:rsidRPr="003D289E">
        <w:rPr>
          <w:rFonts w:ascii="Times New Roman" w:hAnsi="Times New Roman" w:cs="Times New Roman"/>
          <w:sz w:val="24"/>
          <w:szCs w:val="24"/>
          <w:vertAlign w:val="subscript"/>
          <w:lang w:val="it-IT"/>
        </w:rPr>
        <w:t>6</w:t>
      </w:r>
      <w:r w:rsidRPr="003D289E">
        <w:rPr>
          <w:rFonts w:ascii="Times New Roman" w:hAnsi="Times New Roman" w:cs="Times New Roman"/>
          <w:sz w:val="24"/>
          <w:szCs w:val="24"/>
          <w:vertAlign w:val="superscript"/>
          <w:lang w:val="it-IT"/>
        </w:rPr>
        <w:t>2-</w:t>
      </w:r>
      <w:r w:rsidRPr="003D289E">
        <w:rPr>
          <w:rFonts w:ascii="Times New Roman" w:hAnsi="Times New Roman" w:cs="Times New Roman"/>
          <w:sz w:val="24"/>
          <w:szCs w:val="24"/>
          <w:lang w:val="it-IT"/>
        </w:rPr>
        <w:t xml:space="preserve"> (aq) + 3 I</w:t>
      </w:r>
      <w:r w:rsidRPr="003D289E">
        <w:rPr>
          <w:rFonts w:ascii="Times New Roman" w:hAnsi="Times New Roman" w:cs="Times New Roman"/>
          <w:sz w:val="24"/>
          <w:szCs w:val="24"/>
          <w:vertAlign w:val="superscript"/>
          <w:lang w:val="it-IT"/>
        </w:rPr>
        <w:t>-</w:t>
      </w:r>
      <w:r w:rsidRPr="003D289E">
        <w:rPr>
          <w:rFonts w:ascii="Times New Roman" w:hAnsi="Times New Roman" w:cs="Times New Roman"/>
          <w:sz w:val="24"/>
          <w:szCs w:val="24"/>
          <w:lang w:val="it-IT"/>
        </w:rPr>
        <w:t>(aq)</w:t>
      </w:r>
      <w:r w:rsidRPr="003D289E">
        <w:rPr>
          <w:rFonts w:ascii="Times New Roman" w:hAnsi="Times New Roman" w:cs="Times New Roman"/>
          <w:sz w:val="24"/>
          <w:szCs w:val="24"/>
          <w:lang w:val="it-IT"/>
        </w:rPr>
        <w:tab/>
        <w:t>(1)</w:t>
      </w:r>
    </w:p>
    <w:p w:rsidR="007A0DB4" w:rsidRPr="003D289E" w:rsidRDefault="007A0DB4" w:rsidP="00FD483B">
      <w:pPr>
        <w:tabs>
          <w:tab w:val="right" w:pos="9360"/>
        </w:tabs>
        <w:spacing w:after="0" w:line="360" w:lineRule="auto"/>
        <w:ind w:left="708" w:firstLine="708"/>
        <w:jc w:val="both"/>
        <w:rPr>
          <w:rFonts w:ascii="Times New Roman" w:hAnsi="Times New Roman" w:cs="Times New Roman"/>
          <w:sz w:val="24"/>
          <w:szCs w:val="24"/>
          <w:lang w:val="it-IT"/>
        </w:rPr>
      </w:pPr>
      <w:r w:rsidRPr="003D289E">
        <w:rPr>
          <w:rFonts w:ascii="Times New Roman" w:hAnsi="Times New Roman" w:cs="Times New Roman"/>
          <w:sz w:val="24"/>
          <w:szCs w:val="24"/>
          <w:lang w:val="it-IT"/>
        </w:rPr>
        <w:t>ROOH(aq) + 2 H</w:t>
      </w:r>
      <w:r w:rsidRPr="003D289E">
        <w:rPr>
          <w:rFonts w:ascii="Times New Roman" w:hAnsi="Times New Roman" w:cs="Times New Roman"/>
          <w:sz w:val="24"/>
          <w:szCs w:val="24"/>
          <w:vertAlign w:val="superscript"/>
          <w:lang w:val="it-IT"/>
        </w:rPr>
        <w:t>+</w:t>
      </w:r>
      <w:r w:rsidRPr="003D289E">
        <w:rPr>
          <w:rFonts w:ascii="Times New Roman" w:hAnsi="Times New Roman" w:cs="Times New Roman"/>
          <w:sz w:val="24"/>
          <w:szCs w:val="24"/>
          <w:lang w:val="it-IT"/>
        </w:rPr>
        <w:t>(aq) + 3 I</w:t>
      </w:r>
      <w:r w:rsidRPr="003D289E">
        <w:rPr>
          <w:rFonts w:ascii="Times New Roman" w:hAnsi="Times New Roman" w:cs="Times New Roman"/>
          <w:sz w:val="24"/>
          <w:szCs w:val="24"/>
          <w:vertAlign w:val="superscript"/>
          <w:lang w:val="it-IT"/>
        </w:rPr>
        <w:t>-</w:t>
      </w:r>
      <w:r w:rsidRPr="003D289E">
        <w:rPr>
          <w:rFonts w:ascii="Times New Roman" w:hAnsi="Times New Roman" w:cs="Times New Roman"/>
          <w:sz w:val="24"/>
          <w:szCs w:val="24"/>
          <w:lang w:val="it-IT"/>
        </w:rPr>
        <w:t xml:space="preserve">(aq)  </w:t>
      </w:r>
      <w:r w:rsidRPr="003D289E">
        <w:rPr>
          <w:rFonts w:ascii="Times New Roman" w:hAnsi="Times New Roman" w:cs="Times New Roman"/>
          <w:sz w:val="24"/>
          <w:szCs w:val="24"/>
          <w:lang w:val="it-IT"/>
        </w:rPr>
        <w:sym w:font="Wingdings" w:char="F0E8"/>
      </w:r>
      <w:r w:rsidRPr="003D289E">
        <w:rPr>
          <w:rFonts w:ascii="Times New Roman" w:hAnsi="Times New Roman" w:cs="Times New Roman"/>
          <w:sz w:val="24"/>
          <w:szCs w:val="24"/>
          <w:lang w:val="it-IT"/>
        </w:rPr>
        <w:t xml:space="preserve">  I</w:t>
      </w:r>
      <w:r w:rsidRPr="003D289E">
        <w:rPr>
          <w:rFonts w:ascii="Times New Roman" w:hAnsi="Times New Roman" w:cs="Times New Roman"/>
          <w:sz w:val="24"/>
          <w:szCs w:val="24"/>
          <w:vertAlign w:val="subscript"/>
          <w:lang w:val="it-IT"/>
        </w:rPr>
        <w:t>3</w:t>
      </w:r>
      <w:r w:rsidRPr="003D289E">
        <w:rPr>
          <w:rFonts w:ascii="Times New Roman" w:hAnsi="Times New Roman" w:cs="Times New Roman"/>
          <w:sz w:val="24"/>
          <w:szCs w:val="24"/>
          <w:vertAlign w:val="superscript"/>
          <w:lang w:val="it-IT"/>
        </w:rPr>
        <w:t>-</w:t>
      </w:r>
      <w:r w:rsidRPr="003D289E">
        <w:rPr>
          <w:rFonts w:ascii="Times New Roman" w:hAnsi="Times New Roman" w:cs="Times New Roman"/>
          <w:sz w:val="24"/>
          <w:szCs w:val="24"/>
          <w:lang w:val="it-IT"/>
        </w:rPr>
        <w:t xml:space="preserve"> (aq) + ROH(aq) + H</w:t>
      </w:r>
      <w:r w:rsidRPr="003D289E">
        <w:rPr>
          <w:rFonts w:ascii="Times New Roman" w:hAnsi="Times New Roman" w:cs="Times New Roman"/>
          <w:sz w:val="24"/>
          <w:szCs w:val="24"/>
          <w:vertAlign w:val="subscript"/>
          <w:lang w:val="it-IT"/>
        </w:rPr>
        <w:t>2</w:t>
      </w:r>
      <w:r w:rsidRPr="003D289E">
        <w:rPr>
          <w:rFonts w:ascii="Times New Roman" w:hAnsi="Times New Roman" w:cs="Times New Roman"/>
          <w:sz w:val="24"/>
          <w:szCs w:val="24"/>
          <w:lang w:val="it-IT"/>
        </w:rPr>
        <w:t>O(l)</w:t>
      </w:r>
      <w:r w:rsidRPr="003D289E">
        <w:rPr>
          <w:rFonts w:ascii="Times New Roman" w:hAnsi="Times New Roman" w:cs="Times New Roman"/>
          <w:sz w:val="24"/>
          <w:szCs w:val="24"/>
          <w:lang w:val="it-IT"/>
        </w:rPr>
        <w:tab/>
        <w:t>(2)</w:t>
      </w:r>
    </w:p>
    <w:p w:rsidR="00751F19" w:rsidRPr="0081657E" w:rsidRDefault="00751F19" w:rsidP="00FD483B">
      <w:pPr>
        <w:spacing w:after="0" w:line="360" w:lineRule="auto"/>
        <w:ind w:firstLine="567"/>
        <w:jc w:val="both"/>
        <w:rPr>
          <w:rFonts w:ascii="Times New Roman" w:hAnsi="Times New Roman" w:cs="Times New Roman"/>
          <w:sz w:val="24"/>
          <w:szCs w:val="24"/>
          <w:u w:val="single"/>
        </w:rPr>
      </w:pPr>
      <w:r w:rsidRPr="0081657E">
        <w:rPr>
          <w:rFonts w:ascii="Times New Roman" w:hAnsi="Times New Roman" w:cs="Times New Roman"/>
          <w:b/>
          <w:bCs/>
          <w:i/>
          <w:iCs/>
          <w:sz w:val="24"/>
          <w:szCs w:val="24"/>
          <w:u w:val="single"/>
        </w:rPr>
        <w:t>b)- Phase organique</w:t>
      </w:r>
    </w:p>
    <w:p w:rsidR="00F52A49" w:rsidRDefault="00751F19" w:rsidP="00FD483B">
      <w:pPr>
        <w:spacing w:after="0" w:line="360" w:lineRule="auto"/>
        <w:ind w:firstLine="567"/>
        <w:jc w:val="both"/>
        <w:rPr>
          <w:rFonts w:ascii="Times New Roman" w:hAnsi="Times New Roman" w:cs="Times New Roman"/>
          <w:sz w:val="24"/>
          <w:szCs w:val="24"/>
        </w:rPr>
      </w:pPr>
      <w:r w:rsidRPr="003D289E">
        <w:rPr>
          <w:rFonts w:ascii="Times New Roman" w:hAnsi="Times New Roman" w:cs="Times New Roman"/>
          <w:sz w:val="24"/>
          <w:szCs w:val="24"/>
        </w:rPr>
        <w:t>Dan</w:t>
      </w:r>
      <w:r w:rsidR="007A0DB4">
        <w:rPr>
          <w:rFonts w:ascii="Times New Roman" w:hAnsi="Times New Roman" w:cs="Times New Roman"/>
          <w:sz w:val="24"/>
          <w:szCs w:val="24"/>
        </w:rPr>
        <w:t xml:space="preserve">s un erlenmeyer, </w:t>
      </w:r>
      <w:r w:rsidR="000147A3">
        <w:rPr>
          <w:rFonts w:ascii="Times New Roman" w:hAnsi="Times New Roman" w:cs="Times New Roman"/>
          <w:sz w:val="24"/>
          <w:szCs w:val="24"/>
        </w:rPr>
        <w:t>on</w:t>
      </w:r>
      <w:r w:rsidR="007A0DB4">
        <w:rPr>
          <w:rFonts w:ascii="Times New Roman" w:hAnsi="Times New Roman" w:cs="Times New Roman"/>
          <w:sz w:val="24"/>
          <w:szCs w:val="24"/>
        </w:rPr>
        <w:t xml:space="preserve"> </w:t>
      </w:r>
      <w:r w:rsidR="007C5713">
        <w:rPr>
          <w:rFonts w:ascii="Times New Roman" w:hAnsi="Times New Roman" w:cs="Times New Roman"/>
          <w:sz w:val="24"/>
          <w:szCs w:val="24"/>
        </w:rPr>
        <w:t>mélange</w:t>
      </w:r>
      <w:r w:rsidR="007A0DB4">
        <w:rPr>
          <w:rFonts w:ascii="Times New Roman" w:hAnsi="Times New Roman" w:cs="Times New Roman"/>
          <w:sz w:val="24"/>
          <w:szCs w:val="24"/>
        </w:rPr>
        <w:t xml:space="preserve"> 1</w:t>
      </w:r>
      <w:r w:rsidR="003D32CA">
        <w:rPr>
          <w:rFonts w:ascii="Times New Roman" w:hAnsi="Times New Roman" w:cs="Times New Roman"/>
          <w:sz w:val="24"/>
          <w:szCs w:val="24"/>
        </w:rPr>
        <w:t xml:space="preserve"> mL</w:t>
      </w:r>
      <w:r w:rsidRPr="003D289E">
        <w:rPr>
          <w:rFonts w:ascii="Times New Roman" w:hAnsi="Times New Roman" w:cs="Times New Roman"/>
          <w:sz w:val="24"/>
          <w:szCs w:val="24"/>
        </w:rPr>
        <w:t xml:space="preserve"> </w:t>
      </w:r>
      <w:r w:rsidR="003D32CA">
        <w:rPr>
          <w:rFonts w:ascii="Times New Roman" w:hAnsi="Times New Roman" w:cs="Times New Roman"/>
          <w:sz w:val="24"/>
          <w:szCs w:val="24"/>
        </w:rPr>
        <w:t xml:space="preserve">de la </w:t>
      </w:r>
      <w:r w:rsidRPr="003D289E">
        <w:rPr>
          <w:rFonts w:ascii="Times New Roman" w:hAnsi="Times New Roman" w:cs="Times New Roman"/>
          <w:sz w:val="24"/>
          <w:szCs w:val="24"/>
        </w:rPr>
        <w:t>phase organique</w:t>
      </w:r>
      <w:r w:rsidR="000147A3">
        <w:rPr>
          <w:rFonts w:ascii="Times New Roman" w:hAnsi="Times New Roman" w:cs="Times New Roman"/>
          <w:sz w:val="24"/>
          <w:szCs w:val="24"/>
        </w:rPr>
        <w:t>,</w:t>
      </w:r>
      <w:r w:rsidR="003D32CA">
        <w:rPr>
          <w:rFonts w:ascii="Times New Roman" w:hAnsi="Times New Roman" w:cs="Times New Roman"/>
          <w:sz w:val="24"/>
          <w:szCs w:val="24"/>
        </w:rPr>
        <w:t xml:space="preserve"> </w:t>
      </w:r>
      <w:r w:rsidR="00D36972">
        <w:rPr>
          <w:rFonts w:ascii="Times New Roman" w:hAnsi="Times New Roman" w:cs="Times New Roman"/>
          <w:sz w:val="24"/>
          <w:szCs w:val="24"/>
        </w:rPr>
        <w:t>1</w:t>
      </w:r>
      <w:r w:rsidR="007C5713">
        <w:rPr>
          <w:rFonts w:ascii="Times New Roman" w:hAnsi="Times New Roman" w:cs="Times New Roman"/>
          <w:sz w:val="24"/>
          <w:szCs w:val="24"/>
        </w:rPr>
        <w:t xml:space="preserve"> g </w:t>
      </w:r>
      <w:r w:rsidRPr="003D289E">
        <w:rPr>
          <w:rFonts w:ascii="Times New Roman" w:hAnsi="Times New Roman" w:cs="Times New Roman"/>
          <w:sz w:val="24"/>
          <w:szCs w:val="24"/>
        </w:rPr>
        <w:t>d’iodure de potassium KI (1,2.10</w:t>
      </w:r>
      <w:r w:rsidRPr="003D289E">
        <w:rPr>
          <w:rFonts w:ascii="Times New Roman" w:hAnsi="Times New Roman" w:cs="Times New Roman"/>
          <w:sz w:val="24"/>
          <w:szCs w:val="24"/>
          <w:vertAlign w:val="superscript"/>
        </w:rPr>
        <w:t>-2</w:t>
      </w:r>
      <w:r w:rsidRPr="003D289E">
        <w:rPr>
          <w:rFonts w:ascii="Times New Roman" w:hAnsi="Times New Roman" w:cs="Times New Roman"/>
          <w:sz w:val="24"/>
          <w:szCs w:val="24"/>
        </w:rPr>
        <w:t xml:space="preserve"> mol) préalablement dissous dans 10 mL d’eau</w:t>
      </w:r>
      <w:r w:rsidR="000147A3">
        <w:rPr>
          <w:rFonts w:ascii="Times New Roman" w:hAnsi="Times New Roman" w:cs="Times New Roman"/>
          <w:sz w:val="24"/>
          <w:szCs w:val="24"/>
        </w:rPr>
        <w:t xml:space="preserve"> et</w:t>
      </w:r>
      <w:r w:rsidRPr="003D289E">
        <w:rPr>
          <w:rFonts w:ascii="Times New Roman" w:hAnsi="Times New Roman" w:cs="Times New Roman"/>
          <w:sz w:val="24"/>
          <w:szCs w:val="24"/>
        </w:rPr>
        <w:t xml:space="preserve"> 0</w:t>
      </w:r>
      <w:r w:rsidR="000147A3">
        <w:rPr>
          <w:rFonts w:ascii="Times New Roman" w:hAnsi="Times New Roman" w:cs="Times New Roman"/>
          <w:sz w:val="24"/>
          <w:szCs w:val="24"/>
        </w:rPr>
        <w:t>,</w:t>
      </w:r>
      <w:r w:rsidRPr="003D289E">
        <w:rPr>
          <w:rFonts w:ascii="Times New Roman" w:hAnsi="Times New Roman" w:cs="Times New Roman"/>
          <w:sz w:val="24"/>
          <w:szCs w:val="24"/>
        </w:rPr>
        <w:t xml:space="preserve">5 mL d’acide sulfurique </w:t>
      </w:r>
      <w:r w:rsidR="000147A3">
        <w:rPr>
          <w:rFonts w:ascii="Times New Roman" w:hAnsi="Times New Roman" w:cs="Times New Roman"/>
          <w:sz w:val="24"/>
          <w:szCs w:val="24"/>
        </w:rPr>
        <w:t>dissout</w:t>
      </w:r>
      <w:r w:rsidRPr="003D289E">
        <w:rPr>
          <w:rFonts w:ascii="Times New Roman" w:hAnsi="Times New Roman" w:cs="Times New Roman"/>
          <w:sz w:val="24"/>
          <w:szCs w:val="24"/>
        </w:rPr>
        <w:t xml:space="preserve"> dans 10 mL d’eau. La solution de</w:t>
      </w:r>
      <w:r w:rsidR="007C5713">
        <w:rPr>
          <w:rFonts w:ascii="Times New Roman" w:hAnsi="Times New Roman" w:cs="Times New Roman"/>
          <w:sz w:val="24"/>
          <w:szCs w:val="24"/>
        </w:rPr>
        <w:t>vient jaunâtre par formation d’I</w:t>
      </w:r>
      <w:r w:rsidR="007C5713" w:rsidRPr="007C5713">
        <w:rPr>
          <w:rFonts w:ascii="Times New Roman" w:hAnsi="Times New Roman" w:cs="Times New Roman"/>
          <w:sz w:val="24"/>
          <w:szCs w:val="24"/>
          <w:vertAlign w:val="subscript"/>
        </w:rPr>
        <w:t>3</w:t>
      </w:r>
      <w:r w:rsidR="007C5713" w:rsidRPr="007C5713">
        <w:rPr>
          <w:rFonts w:ascii="Times New Roman" w:hAnsi="Times New Roman" w:cs="Times New Roman"/>
          <w:sz w:val="32"/>
          <w:szCs w:val="32"/>
          <w:vertAlign w:val="superscript"/>
        </w:rPr>
        <w:t>-</w:t>
      </w:r>
      <w:r w:rsidR="000147A3" w:rsidRPr="007C5713">
        <w:rPr>
          <w:rFonts w:ascii="Times New Roman" w:hAnsi="Times New Roman" w:cs="Times New Roman"/>
          <w:sz w:val="32"/>
          <w:szCs w:val="32"/>
          <w:vertAlign w:val="subscript"/>
        </w:rPr>
        <w:t>.</w:t>
      </w:r>
      <w:r w:rsidR="000147A3" w:rsidRPr="000147A3">
        <w:rPr>
          <w:rFonts w:ascii="Times New Roman" w:hAnsi="Times New Roman" w:cs="Times New Roman"/>
          <w:sz w:val="24"/>
          <w:szCs w:val="24"/>
        </w:rPr>
        <w:t xml:space="preserve"> </w:t>
      </w:r>
      <w:r w:rsidR="000147A3" w:rsidRPr="007A0DB4">
        <w:rPr>
          <w:rFonts w:ascii="Times New Roman" w:hAnsi="Times New Roman" w:cs="Times New Roman"/>
          <w:sz w:val="24"/>
          <w:szCs w:val="24"/>
        </w:rPr>
        <w:t>Le mélange est laissé sous agitation pendant 30 min à 40 °C puis titrer avec le thiosulfate de sodium NaS</w:t>
      </w:r>
      <w:r w:rsidR="000147A3" w:rsidRPr="007A0DB4">
        <w:rPr>
          <w:rFonts w:ascii="Times New Roman" w:hAnsi="Times New Roman" w:cs="Times New Roman"/>
          <w:sz w:val="24"/>
          <w:szCs w:val="24"/>
          <w:vertAlign w:val="subscript"/>
        </w:rPr>
        <w:t>2</w:t>
      </w:r>
      <w:r w:rsidR="000147A3" w:rsidRPr="007A0DB4">
        <w:rPr>
          <w:rFonts w:ascii="Times New Roman" w:hAnsi="Times New Roman" w:cs="Times New Roman"/>
          <w:sz w:val="24"/>
          <w:szCs w:val="24"/>
        </w:rPr>
        <w:t>O</w:t>
      </w:r>
      <w:r w:rsidR="000147A3" w:rsidRPr="007A0DB4">
        <w:rPr>
          <w:rFonts w:ascii="Times New Roman" w:hAnsi="Times New Roman" w:cs="Times New Roman"/>
          <w:sz w:val="24"/>
          <w:szCs w:val="24"/>
          <w:vertAlign w:val="subscript"/>
        </w:rPr>
        <w:t xml:space="preserve">3 </w:t>
      </w:r>
      <w:r w:rsidR="000147A3" w:rsidRPr="007A0DB4">
        <w:rPr>
          <w:rFonts w:ascii="Times New Roman" w:hAnsi="Times New Roman" w:cs="Times New Roman"/>
          <w:sz w:val="24"/>
          <w:szCs w:val="24"/>
        </w:rPr>
        <w:t xml:space="preserve"> (0,1 mol.L</w:t>
      </w:r>
      <w:r w:rsidR="000147A3" w:rsidRPr="007A0DB4">
        <w:rPr>
          <w:rFonts w:ascii="Times New Roman" w:hAnsi="Times New Roman" w:cs="Times New Roman"/>
          <w:sz w:val="24"/>
          <w:szCs w:val="24"/>
          <w:vertAlign w:val="superscript"/>
        </w:rPr>
        <w:t>-1</w:t>
      </w:r>
      <w:r w:rsidR="000147A3" w:rsidRPr="007A0DB4">
        <w:rPr>
          <w:rFonts w:ascii="Times New Roman" w:hAnsi="Times New Roman" w:cs="Times New Roman"/>
          <w:sz w:val="24"/>
          <w:szCs w:val="24"/>
        </w:rPr>
        <w:t>).</w:t>
      </w:r>
      <w:r w:rsidR="00F52A49">
        <w:rPr>
          <w:rFonts w:ascii="Times New Roman" w:hAnsi="Times New Roman" w:cs="Times New Roman"/>
          <w:sz w:val="24"/>
          <w:szCs w:val="24"/>
        </w:rPr>
        <w:t xml:space="preserve"> </w:t>
      </w:r>
    </w:p>
    <w:p w:rsidR="00BB0DDE" w:rsidRDefault="000147A3" w:rsidP="00FD483B">
      <w:pPr>
        <w:spacing w:after="0" w:line="360" w:lineRule="auto"/>
        <w:ind w:firstLine="284"/>
        <w:jc w:val="both"/>
        <w:rPr>
          <w:rFonts w:asciiTheme="majorBidi" w:hAnsiTheme="majorBidi" w:cstheme="majorBidi"/>
          <w:sz w:val="24"/>
          <w:szCs w:val="24"/>
        </w:rPr>
      </w:pPr>
      <w:r w:rsidRPr="00E30257">
        <w:rPr>
          <w:rFonts w:asciiTheme="majorBidi" w:hAnsiTheme="majorBidi" w:cstheme="majorBidi"/>
          <w:sz w:val="24"/>
          <w:szCs w:val="24"/>
        </w:rPr>
        <w:t>Les</w:t>
      </w:r>
      <w:r w:rsidR="003D289E" w:rsidRPr="00E30257">
        <w:rPr>
          <w:rFonts w:asciiTheme="majorBidi" w:hAnsiTheme="majorBidi" w:cstheme="majorBidi"/>
          <w:sz w:val="24"/>
          <w:szCs w:val="24"/>
        </w:rPr>
        <w:t xml:space="preserve"> tests catalytiques d’époxydation du cyclohéxène sont effectuées comme suit : dans un ballon tricol muni d’un réfrigérant </w:t>
      </w:r>
      <w:r w:rsidR="003D289E" w:rsidRPr="000A4C71">
        <w:rPr>
          <w:rFonts w:asciiTheme="majorBidi" w:hAnsiTheme="majorBidi" w:cstheme="majorBidi"/>
          <w:b/>
          <w:bCs/>
          <w:sz w:val="24"/>
          <w:szCs w:val="24"/>
        </w:rPr>
        <w:t>(Figure</w:t>
      </w:r>
      <w:r w:rsidR="000A4C71">
        <w:rPr>
          <w:rFonts w:asciiTheme="majorBidi" w:hAnsiTheme="majorBidi" w:cstheme="majorBidi"/>
          <w:b/>
          <w:bCs/>
          <w:sz w:val="24"/>
          <w:szCs w:val="24"/>
        </w:rPr>
        <w:t xml:space="preserve"> </w:t>
      </w:r>
      <w:r w:rsidR="000A4C71" w:rsidRPr="000A4C71">
        <w:rPr>
          <w:rFonts w:asciiTheme="majorBidi" w:hAnsiTheme="majorBidi" w:cstheme="majorBidi"/>
          <w:b/>
          <w:bCs/>
          <w:sz w:val="24"/>
          <w:szCs w:val="24"/>
        </w:rPr>
        <w:t>II.4)</w:t>
      </w:r>
      <w:r w:rsidR="003D289E" w:rsidRPr="00E30257">
        <w:rPr>
          <w:rFonts w:asciiTheme="majorBidi" w:hAnsiTheme="majorBidi" w:cstheme="majorBidi"/>
          <w:sz w:val="24"/>
          <w:szCs w:val="24"/>
        </w:rPr>
        <w:t>, nous introduisons le mélange hepta</w:t>
      </w:r>
      <w:r w:rsidR="00E30257">
        <w:rPr>
          <w:rFonts w:asciiTheme="majorBidi" w:hAnsiTheme="majorBidi" w:cstheme="majorBidi"/>
          <w:sz w:val="24"/>
          <w:szCs w:val="24"/>
        </w:rPr>
        <w:t>ne-hydroperoxyde de tertiobutyle</w:t>
      </w:r>
      <w:r w:rsidR="003D289E" w:rsidRPr="00E30257">
        <w:rPr>
          <w:rFonts w:asciiTheme="majorBidi" w:hAnsiTheme="majorBidi" w:cstheme="majorBidi"/>
          <w:sz w:val="24"/>
          <w:szCs w:val="24"/>
        </w:rPr>
        <w:t xml:space="preserve"> (phase organique) et 3 mL de cyclohéxène. Après avoir maintenu sous agitation le mélange à reflux nous additionnons  0,1</w:t>
      </w:r>
      <w:r w:rsidR="00E30257" w:rsidRPr="00E30257">
        <w:rPr>
          <w:rFonts w:asciiTheme="majorBidi" w:hAnsiTheme="majorBidi" w:cstheme="majorBidi"/>
          <w:sz w:val="24"/>
          <w:szCs w:val="24"/>
        </w:rPr>
        <w:t xml:space="preserve"> g de catalyseur. A ce</w:t>
      </w:r>
      <w:r w:rsidR="00E30257">
        <w:rPr>
          <w:rFonts w:asciiTheme="majorBidi" w:hAnsiTheme="majorBidi" w:cstheme="majorBidi"/>
          <w:sz w:val="24"/>
          <w:szCs w:val="24"/>
        </w:rPr>
        <w:t xml:space="preserve">t </w:t>
      </w:r>
      <w:r w:rsidR="00E30257" w:rsidRPr="00E30257">
        <w:rPr>
          <w:rFonts w:asciiTheme="majorBidi" w:hAnsiTheme="majorBidi" w:cstheme="majorBidi"/>
          <w:sz w:val="24"/>
          <w:szCs w:val="24"/>
        </w:rPr>
        <w:t>instant, nous considérons le temps t</w:t>
      </w:r>
      <w:r w:rsidR="00E30257" w:rsidRPr="00E30257">
        <w:rPr>
          <w:rFonts w:asciiTheme="majorBidi" w:hAnsiTheme="majorBidi" w:cstheme="majorBidi"/>
          <w:sz w:val="24"/>
          <w:szCs w:val="24"/>
          <w:vertAlign w:val="subscript"/>
        </w:rPr>
        <w:t>0</w:t>
      </w:r>
      <w:r w:rsidR="00E30257" w:rsidRPr="00E30257">
        <w:rPr>
          <w:rFonts w:asciiTheme="majorBidi" w:hAnsiTheme="majorBidi" w:cstheme="majorBidi"/>
          <w:sz w:val="24"/>
          <w:szCs w:val="24"/>
        </w:rPr>
        <w:t>. Le chauffage à reflux per</w:t>
      </w:r>
      <w:r w:rsidR="00E30257">
        <w:rPr>
          <w:rFonts w:asciiTheme="majorBidi" w:hAnsiTheme="majorBidi" w:cstheme="majorBidi"/>
          <w:sz w:val="24"/>
          <w:szCs w:val="24"/>
        </w:rPr>
        <w:t>m</w:t>
      </w:r>
      <w:r w:rsidR="00E30257" w:rsidRPr="00E30257">
        <w:rPr>
          <w:rFonts w:asciiTheme="majorBidi" w:hAnsiTheme="majorBidi" w:cstheme="majorBidi"/>
          <w:sz w:val="24"/>
          <w:szCs w:val="24"/>
        </w:rPr>
        <w:t>et de travailler à température modérée en évitant les pertes de matière : les vapeurs se condensent dans le réfrigérant à eau et retombent dans le ballon.</w:t>
      </w: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A90324" w:rsidRDefault="00A90324" w:rsidP="00FD483B">
      <w:pPr>
        <w:spacing w:after="0" w:line="360" w:lineRule="auto"/>
        <w:ind w:firstLine="284"/>
        <w:jc w:val="both"/>
        <w:rPr>
          <w:rFonts w:asciiTheme="majorBidi" w:hAnsiTheme="majorBidi" w:cstheme="majorBidi"/>
          <w:sz w:val="24"/>
          <w:szCs w:val="24"/>
        </w:rPr>
      </w:pPr>
    </w:p>
    <w:p w:rsidR="000B7B69" w:rsidRPr="00F52A49" w:rsidRDefault="00A90324" w:rsidP="00FD483B">
      <w:pPr>
        <w:spacing w:after="0" w:line="360" w:lineRule="auto"/>
        <w:ind w:firstLine="284"/>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1552" behindDoc="0" locked="0" layoutInCell="1" allowOverlap="1">
            <wp:simplePos x="0" y="0"/>
            <wp:positionH relativeFrom="column">
              <wp:posOffset>2045970</wp:posOffset>
            </wp:positionH>
            <wp:positionV relativeFrom="paragraph">
              <wp:posOffset>126365</wp:posOffset>
            </wp:positionV>
            <wp:extent cx="1413510" cy="2481580"/>
            <wp:effectExtent l="0" t="0" r="0" b="0"/>
            <wp:wrapSquare wrapText="bothSides"/>
            <wp:docPr id="1" name="Image 1"/>
            <wp:cNvGraphicFramePr/>
            <a:graphic xmlns:a="http://schemas.openxmlformats.org/drawingml/2006/main">
              <a:graphicData uri="http://schemas.openxmlformats.org/drawingml/2006/picture">
                <pic:pic xmlns:pic="http://schemas.openxmlformats.org/drawingml/2006/picture">
                  <pic:nvPicPr>
                    <pic:cNvPr id="31765" name="Picture 2"/>
                    <pic:cNvPicPr>
                      <a:picLocks noChangeAspect="1" noChangeArrowheads="1"/>
                    </pic:cNvPicPr>
                  </pic:nvPicPr>
                  <pic:blipFill>
                    <a:blip r:embed="rId14"/>
                    <a:srcRect/>
                    <a:stretch>
                      <a:fillRect/>
                    </a:stretch>
                  </pic:blipFill>
                  <pic:spPr bwMode="auto">
                    <a:xfrm>
                      <a:off x="0" y="0"/>
                      <a:ext cx="1413510" cy="2481580"/>
                    </a:xfrm>
                    <a:prstGeom prst="rect">
                      <a:avLst/>
                    </a:prstGeom>
                    <a:noFill/>
                    <a:ln w="9525">
                      <a:noFill/>
                      <a:miter lim="800000"/>
                      <a:headEnd/>
                      <a:tailEnd/>
                    </a:ln>
                  </pic:spPr>
                </pic:pic>
              </a:graphicData>
            </a:graphic>
          </wp:anchor>
        </w:drawing>
      </w:r>
    </w:p>
    <w:p w:rsidR="000147A3" w:rsidRDefault="007875F6" w:rsidP="00FD483B">
      <w:pPr>
        <w:spacing w:after="0" w:line="360" w:lineRule="auto"/>
        <w:jc w:val="both"/>
        <w:rPr>
          <w:rFonts w:asciiTheme="majorBidi" w:hAnsiTheme="majorBidi" w:cstheme="majorBidi"/>
          <w:sz w:val="24"/>
          <w:szCs w:val="24"/>
        </w:rPr>
      </w:pPr>
      <w:r w:rsidRPr="007875F6">
        <w:rPr>
          <w:noProof/>
          <w:sz w:val="24"/>
          <w:szCs w:val="24"/>
        </w:rPr>
        <w:pict>
          <v:group id="_x0000_s1156" style="position:absolute;left:0;text-align:left;margin-left:42.8pt;margin-top:6.75pt;width:399.75pt;height:161.25pt;z-index:251678720" coordorigin="2055,1814" coordsize="8415,3225">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51" type="#_x0000_t13" style="position:absolute;left:6990;top:4514;width:1965;height:360"/>
            <v:roundrect id="_x0000_s1152" style="position:absolute;left:9030;top:4289;width:1440;height:750" arcsize="10923f" stroked="f">
              <v:textbox style="mso-next-textbox:#_x0000_s1152">
                <w:txbxContent>
                  <w:p w:rsidR="009C1CFA" w:rsidRPr="00E30257" w:rsidRDefault="009C1CFA">
                    <w:pPr>
                      <w:rPr>
                        <w:rFonts w:asciiTheme="majorBidi" w:hAnsiTheme="majorBidi" w:cstheme="majorBidi"/>
                        <w:b/>
                        <w:bCs/>
                        <w:sz w:val="48"/>
                        <w:szCs w:val="48"/>
                      </w:rPr>
                    </w:pPr>
                    <w:r w:rsidRPr="00E30257">
                      <w:rPr>
                        <w:rFonts w:asciiTheme="majorBidi" w:hAnsiTheme="majorBidi" w:cstheme="majorBidi"/>
                        <w:b/>
                        <w:bCs/>
                        <w:sz w:val="48"/>
                        <w:szCs w:val="48"/>
                      </w:rPr>
                      <w:t>CPG</w:t>
                    </w:r>
                  </w:p>
                </w:txbxContent>
              </v:textbox>
            </v:roundrect>
            <v:oval id="_x0000_s1153" style="position:absolute;left:6990;top:3795;width:1950;height:719" stroked="f">
              <v:textbox style="mso-next-textbox:#_x0000_s1153">
                <w:txbxContent>
                  <w:p w:rsidR="009C1CFA" w:rsidRPr="00F033BA" w:rsidRDefault="009C1CFA">
                    <w:pPr>
                      <w:rPr>
                        <w:rFonts w:asciiTheme="majorBidi" w:hAnsiTheme="majorBidi" w:cstheme="majorBidi"/>
                        <w:sz w:val="32"/>
                        <w:szCs w:val="32"/>
                      </w:rPr>
                    </w:pPr>
                    <w:r w:rsidRPr="00F033BA">
                      <w:rPr>
                        <w:rFonts w:asciiTheme="majorBidi" w:hAnsiTheme="majorBidi" w:cstheme="majorBidi"/>
                        <w:sz w:val="32"/>
                        <w:szCs w:val="32"/>
                      </w:rPr>
                      <w:t xml:space="preserve">Analyse </w:t>
                    </w:r>
                  </w:p>
                </w:txbxContent>
              </v:textbox>
            </v:oval>
            <v:rect id="_x0000_s1154" style="position:absolute;left:2055;top:1814;width:2730;height:2865" stroked="f">
              <v:textbox style="mso-next-textbox:#_x0000_s1154">
                <w:txbxContent>
                  <w:p w:rsidR="009C1CFA" w:rsidRPr="000A4C71" w:rsidRDefault="009C1CFA">
                    <w:pPr>
                      <w:rPr>
                        <w:rFonts w:asciiTheme="majorBidi" w:hAnsiTheme="majorBidi" w:cstheme="majorBidi"/>
                      </w:rPr>
                    </w:pPr>
                    <w:r w:rsidRPr="000A4C71">
                      <w:rPr>
                        <w:rFonts w:asciiTheme="majorBidi" w:hAnsiTheme="majorBidi" w:cstheme="majorBidi"/>
                      </w:rPr>
                      <w:t>1 : Réfrigérant</w:t>
                    </w:r>
                  </w:p>
                  <w:p w:rsidR="009C1CFA" w:rsidRPr="000A4C71" w:rsidRDefault="009C1CFA">
                    <w:pPr>
                      <w:rPr>
                        <w:rFonts w:asciiTheme="majorBidi" w:hAnsiTheme="majorBidi" w:cstheme="majorBidi"/>
                      </w:rPr>
                    </w:pPr>
                    <w:r w:rsidRPr="000A4C71">
                      <w:rPr>
                        <w:rFonts w:asciiTheme="majorBidi" w:hAnsiTheme="majorBidi" w:cstheme="majorBidi"/>
                      </w:rPr>
                      <w:t>2 : Thermomètre</w:t>
                    </w:r>
                  </w:p>
                  <w:p w:rsidR="009C1CFA" w:rsidRPr="000A4C71" w:rsidRDefault="009C1CFA">
                    <w:pPr>
                      <w:rPr>
                        <w:rFonts w:asciiTheme="majorBidi" w:hAnsiTheme="majorBidi" w:cstheme="majorBidi"/>
                      </w:rPr>
                    </w:pPr>
                    <w:r w:rsidRPr="000A4C71">
                      <w:rPr>
                        <w:rFonts w:asciiTheme="majorBidi" w:hAnsiTheme="majorBidi" w:cstheme="majorBidi"/>
                      </w:rPr>
                      <w:t>3 : Bain marie</w:t>
                    </w:r>
                  </w:p>
                  <w:p w:rsidR="009C1CFA" w:rsidRPr="000A4C71" w:rsidRDefault="009C1CFA">
                    <w:pPr>
                      <w:rPr>
                        <w:rFonts w:asciiTheme="majorBidi" w:hAnsiTheme="majorBidi" w:cstheme="majorBidi"/>
                      </w:rPr>
                    </w:pPr>
                    <w:r w:rsidRPr="000A4C71">
                      <w:rPr>
                        <w:rFonts w:asciiTheme="majorBidi" w:hAnsiTheme="majorBidi" w:cstheme="majorBidi"/>
                      </w:rPr>
                      <w:t>4 : plaque chauffante</w:t>
                    </w:r>
                  </w:p>
                  <w:p w:rsidR="009C1CFA" w:rsidRPr="000A4C71" w:rsidRDefault="009C1CFA">
                    <w:pPr>
                      <w:rPr>
                        <w:rFonts w:asciiTheme="majorBidi" w:hAnsiTheme="majorBidi" w:cstheme="majorBidi"/>
                      </w:rPr>
                    </w:pPr>
                    <w:r w:rsidRPr="000A4C71">
                      <w:rPr>
                        <w:rFonts w:asciiTheme="majorBidi" w:hAnsiTheme="majorBidi" w:cstheme="majorBidi"/>
                      </w:rPr>
                      <w:t>5 : Ballon tricol</w:t>
                    </w:r>
                  </w:p>
                  <w:p w:rsidR="009C1CFA" w:rsidRPr="000A4C71" w:rsidRDefault="009C1CFA">
                    <w:pPr>
                      <w:rPr>
                        <w:rFonts w:asciiTheme="majorBidi" w:hAnsiTheme="majorBidi" w:cstheme="majorBidi"/>
                      </w:rPr>
                    </w:pPr>
                    <w:r w:rsidRPr="000A4C71">
                      <w:rPr>
                        <w:rFonts w:asciiTheme="majorBidi" w:hAnsiTheme="majorBidi" w:cstheme="majorBidi"/>
                      </w:rPr>
                      <w:t>6 : Barreau magnétique</w:t>
                    </w:r>
                  </w:p>
                </w:txbxContent>
              </v:textbox>
            </v:rect>
          </v:group>
        </w:pict>
      </w:r>
    </w:p>
    <w:p w:rsidR="000147A3" w:rsidRDefault="000147A3" w:rsidP="00FD483B">
      <w:pPr>
        <w:spacing w:after="0" w:line="360" w:lineRule="auto"/>
        <w:jc w:val="both"/>
        <w:rPr>
          <w:rFonts w:asciiTheme="majorBidi" w:hAnsiTheme="majorBidi" w:cstheme="majorBidi"/>
          <w:sz w:val="24"/>
          <w:szCs w:val="24"/>
        </w:rPr>
      </w:pPr>
    </w:p>
    <w:p w:rsidR="000147A3" w:rsidRDefault="000147A3" w:rsidP="00FD483B">
      <w:pPr>
        <w:spacing w:after="0" w:line="360" w:lineRule="auto"/>
        <w:jc w:val="both"/>
        <w:rPr>
          <w:rFonts w:asciiTheme="majorBidi" w:hAnsiTheme="majorBidi" w:cstheme="majorBidi"/>
          <w:sz w:val="24"/>
          <w:szCs w:val="24"/>
        </w:rPr>
      </w:pPr>
    </w:p>
    <w:p w:rsidR="00E30257" w:rsidRPr="00E30257" w:rsidRDefault="00E30257" w:rsidP="00FD483B">
      <w:pPr>
        <w:spacing w:after="0" w:line="360" w:lineRule="auto"/>
        <w:jc w:val="both"/>
        <w:rPr>
          <w:rFonts w:asciiTheme="majorBidi" w:hAnsiTheme="majorBidi" w:cstheme="majorBidi"/>
          <w:sz w:val="24"/>
          <w:szCs w:val="24"/>
        </w:rPr>
      </w:pPr>
    </w:p>
    <w:p w:rsidR="000A4C71" w:rsidRDefault="000A4C71" w:rsidP="00FD483B">
      <w:pPr>
        <w:spacing w:after="0" w:line="360" w:lineRule="auto"/>
        <w:jc w:val="both"/>
        <w:rPr>
          <w:sz w:val="24"/>
          <w:szCs w:val="24"/>
        </w:rPr>
      </w:pPr>
    </w:p>
    <w:p w:rsidR="0036642F" w:rsidRDefault="0036642F" w:rsidP="00FD483B">
      <w:pPr>
        <w:spacing w:after="0" w:line="360" w:lineRule="auto"/>
        <w:jc w:val="both"/>
        <w:rPr>
          <w:sz w:val="24"/>
          <w:szCs w:val="24"/>
        </w:rPr>
      </w:pPr>
    </w:p>
    <w:p w:rsidR="00B728A2" w:rsidRDefault="00B728A2" w:rsidP="00FD483B">
      <w:pPr>
        <w:spacing w:after="0" w:line="360" w:lineRule="auto"/>
        <w:jc w:val="both"/>
        <w:rPr>
          <w:sz w:val="24"/>
          <w:szCs w:val="24"/>
        </w:rPr>
      </w:pPr>
    </w:p>
    <w:p w:rsidR="00B728A2" w:rsidRDefault="00B728A2" w:rsidP="00FD483B">
      <w:pPr>
        <w:spacing w:after="0" w:line="360" w:lineRule="auto"/>
        <w:jc w:val="both"/>
        <w:rPr>
          <w:sz w:val="24"/>
          <w:szCs w:val="24"/>
        </w:rPr>
      </w:pPr>
    </w:p>
    <w:p w:rsidR="00801EF0" w:rsidRPr="000A4C71" w:rsidRDefault="00801EF0" w:rsidP="00FD483B">
      <w:pPr>
        <w:spacing w:after="0" w:line="360" w:lineRule="auto"/>
        <w:jc w:val="both"/>
        <w:rPr>
          <w:sz w:val="24"/>
          <w:szCs w:val="24"/>
        </w:rPr>
      </w:pPr>
    </w:p>
    <w:p w:rsidR="00E30257" w:rsidRPr="00C64066" w:rsidRDefault="000A4C71" w:rsidP="00FD483B">
      <w:pPr>
        <w:spacing w:after="0" w:line="360" w:lineRule="auto"/>
        <w:jc w:val="center"/>
        <w:rPr>
          <w:rFonts w:asciiTheme="majorBidi" w:hAnsiTheme="majorBidi" w:cstheme="majorBidi"/>
        </w:rPr>
      </w:pPr>
      <w:r w:rsidRPr="00C64066">
        <w:rPr>
          <w:rFonts w:asciiTheme="majorBidi" w:hAnsiTheme="majorBidi" w:cstheme="majorBidi"/>
          <w:b/>
          <w:bCs/>
        </w:rPr>
        <w:t>Figure II.4 </w:t>
      </w:r>
      <w:r w:rsidRPr="00C64066">
        <w:rPr>
          <w:rFonts w:asciiTheme="majorBidi" w:hAnsiTheme="majorBidi" w:cstheme="majorBidi"/>
        </w:rPr>
        <w:t>: Montage de réaction d’époxydation de cyclohéxène</w:t>
      </w:r>
    </w:p>
    <w:p w:rsidR="00801EF0" w:rsidRDefault="00801EF0" w:rsidP="00FD483B">
      <w:pPr>
        <w:spacing w:after="0" w:line="360" w:lineRule="auto"/>
        <w:ind w:firstLine="284"/>
        <w:jc w:val="both"/>
        <w:rPr>
          <w:rFonts w:asciiTheme="majorBidi" w:hAnsiTheme="majorBidi" w:cstheme="majorBidi"/>
          <w:sz w:val="24"/>
          <w:szCs w:val="24"/>
        </w:rPr>
      </w:pPr>
    </w:p>
    <w:p w:rsidR="00F425CB" w:rsidRDefault="00CA19A8" w:rsidP="00FD483B">
      <w:pPr>
        <w:spacing w:after="0" w:line="360" w:lineRule="auto"/>
        <w:ind w:firstLine="284"/>
        <w:jc w:val="both"/>
        <w:rPr>
          <w:rFonts w:asciiTheme="majorBidi" w:hAnsiTheme="majorBidi" w:cstheme="majorBidi"/>
          <w:sz w:val="24"/>
          <w:szCs w:val="24"/>
        </w:rPr>
      </w:pPr>
      <w:r w:rsidRPr="00350500">
        <w:rPr>
          <w:rFonts w:asciiTheme="majorBidi" w:hAnsiTheme="majorBidi" w:cstheme="majorBidi"/>
          <w:sz w:val="24"/>
          <w:szCs w:val="24"/>
        </w:rPr>
        <w:t>La ré</w:t>
      </w:r>
      <w:r w:rsidR="00350500" w:rsidRPr="00350500">
        <w:rPr>
          <w:rFonts w:asciiTheme="majorBidi" w:hAnsiTheme="majorBidi" w:cstheme="majorBidi"/>
          <w:sz w:val="24"/>
          <w:szCs w:val="24"/>
        </w:rPr>
        <w:t>action suivante peut avoir lieu :</w:t>
      </w:r>
    </w:p>
    <w:p w:rsidR="00D73143" w:rsidRPr="00D73143" w:rsidRDefault="00E83D9A" w:rsidP="00FD483B">
      <w:pPr>
        <w:spacing w:after="0" w:line="360" w:lineRule="auto"/>
        <w:ind w:firstLine="284"/>
        <w:jc w:val="both"/>
        <w:rPr>
          <w:rFonts w:asciiTheme="majorBidi" w:hAnsiTheme="majorBidi" w:cstheme="majorBidi"/>
          <w:sz w:val="24"/>
          <w:szCs w:val="24"/>
        </w:rPr>
      </w:pPr>
      <w:r>
        <w:object w:dxaOrig="8685" w:dyaOrig="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8.2pt;height:2in" o:ole="">
            <v:imagedata r:id="rId15" o:title=""/>
          </v:shape>
          <o:OLEObject Type="Embed" ProgID="ChemDraw.Document.6.0" ShapeID="_x0000_i1025" DrawAspect="Content" ObjectID="_1371381504" r:id="rId16"/>
        </w:object>
      </w:r>
    </w:p>
    <w:p w:rsidR="00CA19A8" w:rsidRPr="00F425CB" w:rsidRDefault="00350500" w:rsidP="00FD483B">
      <w:pPr>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 </w:t>
      </w:r>
      <w:r w:rsidR="00CA19A8">
        <w:rPr>
          <w:rFonts w:asciiTheme="majorBidi" w:hAnsiTheme="majorBidi" w:cstheme="majorBidi"/>
          <w:sz w:val="24"/>
          <w:szCs w:val="24"/>
        </w:rPr>
        <w:t>Des prélèvements de 0,9 mL sont effectués à la seringue dans le bal</w:t>
      </w:r>
      <w:r w:rsidR="0084009E">
        <w:rPr>
          <w:rFonts w:asciiTheme="majorBidi" w:hAnsiTheme="majorBidi" w:cstheme="majorBidi"/>
          <w:sz w:val="24"/>
          <w:szCs w:val="24"/>
        </w:rPr>
        <w:t>lon : avant ajout de catalyseur</w:t>
      </w:r>
      <w:r w:rsidR="000147A3">
        <w:rPr>
          <w:rFonts w:asciiTheme="majorBidi" w:hAnsiTheme="majorBidi" w:cstheme="majorBidi"/>
          <w:sz w:val="24"/>
          <w:szCs w:val="24"/>
        </w:rPr>
        <w:t>, tout just</w:t>
      </w:r>
      <w:r w:rsidR="00F033BA">
        <w:rPr>
          <w:rFonts w:asciiTheme="majorBidi" w:hAnsiTheme="majorBidi" w:cstheme="majorBidi"/>
          <w:sz w:val="24"/>
          <w:szCs w:val="24"/>
        </w:rPr>
        <w:t>e après</w:t>
      </w:r>
      <w:r w:rsidR="000147A3">
        <w:rPr>
          <w:rFonts w:asciiTheme="majorBidi" w:hAnsiTheme="majorBidi" w:cstheme="majorBidi"/>
          <w:sz w:val="24"/>
          <w:szCs w:val="24"/>
        </w:rPr>
        <w:t xml:space="preserve"> ajout du catalyseur (t</w:t>
      </w:r>
      <w:r w:rsidR="000147A3" w:rsidRPr="000147A3">
        <w:rPr>
          <w:rFonts w:asciiTheme="majorBidi" w:hAnsiTheme="majorBidi" w:cstheme="majorBidi"/>
          <w:sz w:val="24"/>
          <w:szCs w:val="24"/>
          <w:vertAlign w:val="subscript"/>
        </w:rPr>
        <w:t>0</w:t>
      </w:r>
      <w:r w:rsidR="000147A3">
        <w:rPr>
          <w:rFonts w:asciiTheme="majorBidi" w:hAnsiTheme="majorBidi" w:cstheme="majorBidi"/>
          <w:sz w:val="24"/>
          <w:szCs w:val="24"/>
        </w:rPr>
        <w:t>) et à 6 h (t</w:t>
      </w:r>
      <w:r w:rsidR="000147A3" w:rsidRPr="000147A3">
        <w:rPr>
          <w:rFonts w:asciiTheme="majorBidi" w:hAnsiTheme="majorBidi" w:cstheme="majorBidi"/>
          <w:sz w:val="24"/>
          <w:szCs w:val="24"/>
          <w:vertAlign w:val="subscript"/>
        </w:rPr>
        <w:t>f</w:t>
      </w:r>
      <w:r w:rsidR="000147A3">
        <w:rPr>
          <w:rFonts w:asciiTheme="majorBidi" w:hAnsiTheme="majorBidi" w:cstheme="majorBidi"/>
          <w:sz w:val="24"/>
          <w:szCs w:val="24"/>
        </w:rPr>
        <w:t>)</w:t>
      </w:r>
      <w:r w:rsidR="00F033BA">
        <w:rPr>
          <w:rFonts w:asciiTheme="majorBidi" w:hAnsiTheme="majorBidi" w:cstheme="majorBidi"/>
          <w:sz w:val="24"/>
          <w:szCs w:val="24"/>
        </w:rPr>
        <w:t>.</w:t>
      </w:r>
    </w:p>
    <w:p w:rsidR="0098432E" w:rsidRDefault="00D04126" w:rsidP="000F11FC">
      <w:pPr>
        <w:spacing w:after="0" w:line="360" w:lineRule="auto"/>
        <w:ind w:firstLine="567"/>
        <w:jc w:val="both"/>
        <w:rPr>
          <w:rFonts w:asciiTheme="majorBidi" w:hAnsiTheme="majorBidi" w:cstheme="majorBidi"/>
          <w:noProof/>
          <w:sz w:val="24"/>
          <w:szCs w:val="24"/>
        </w:rPr>
      </w:pPr>
      <w:r>
        <w:rPr>
          <w:rFonts w:asciiTheme="majorBidi" w:hAnsiTheme="majorBidi" w:cstheme="majorBidi"/>
          <w:sz w:val="24"/>
          <w:szCs w:val="24"/>
        </w:rPr>
        <w:t>A</w:t>
      </w:r>
      <w:r w:rsidR="00CA19A8">
        <w:rPr>
          <w:rFonts w:asciiTheme="majorBidi" w:hAnsiTheme="majorBidi" w:cstheme="majorBidi"/>
          <w:sz w:val="24"/>
          <w:szCs w:val="24"/>
        </w:rPr>
        <w:t>f</w:t>
      </w:r>
      <w:r>
        <w:rPr>
          <w:rFonts w:asciiTheme="majorBidi" w:hAnsiTheme="majorBidi" w:cstheme="majorBidi"/>
          <w:sz w:val="24"/>
          <w:szCs w:val="24"/>
        </w:rPr>
        <w:t>i</w:t>
      </w:r>
      <w:r w:rsidR="00CA19A8">
        <w:rPr>
          <w:rFonts w:asciiTheme="majorBidi" w:hAnsiTheme="majorBidi" w:cstheme="majorBidi"/>
          <w:noProof/>
          <w:sz w:val="24"/>
          <w:szCs w:val="24"/>
        </w:rPr>
        <w:t xml:space="preserve">n d’éliminer le TBHP </w:t>
      </w:r>
      <w:r>
        <w:rPr>
          <w:rFonts w:asciiTheme="majorBidi" w:hAnsiTheme="majorBidi" w:cstheme="majorBidi"/>
          <w:noProof/>
          <w:sz w:val="24"/>
          <w:szCs w:val="24"/>
        </w:rPr>
        <w:t xml:space="preserve">restant et d’éviter qu’il ne détruise la colonne, le prélèvement est mis en contact avec 0,1 g de triphénylphosphine. Enfin 0,5 </w:t>
      </w:r>
      <w:r w:rsidR="008050AC">
        <w:rPr>
          <w:rFonts w:asciiTheme="majorBidi" w:hAnsiTheme="majorBidi" w:cstheme="majorBidi"/>
          <w:noProof/>
          <w:sz w:val="24"/>
          <w:szCs w:val="24"/>
        </w:rPr>
        <w:t>µ</w:t>
      </w:r>
      <w:r>
        <w:rPr>
          <w:rFonts w:asciiTheme="majorBidi" w:hAnsiTheme="majorBidi" w:cstheme="majorBidi"/>
          <w:noProof/>
          <w:sz w:val="24"/>
          <w:szCs w:val="24"/>
        </w:rPr>
        <w:t xml:space="preserve">L de la solution (prélèvement+ solution de </w:t>
      </w:r>
      <w:r w:rsidR="009C2D32">
        <w:rPr>
          <w:rFonts w:asciiTheme="majorBidi" w:hAnsiTheme="majorBidi" w:cstheme="majorBidi"/>
          <w:noProof/>
          <w:sz w:val="24"/>
          <w:szCs w:val="24"/>
        </w:rPr>
        <w:t>(</w:t>
      </w:r>
      <w:r>
        <w:rPr>
          <w:rFonts w:asciiTheme="majorBidi" w:hAnsiTheme="majorBidi" w:cstheme="majorBidi"/>
          <w:noProof/>
          <w:sz w:val="24"/>
          <w:szCs w:val="24"/>
        </w:rPr>
        <w:t>P(Ph)</w:t>
      </w:r>
      <w:r w:rsidRPr="000F11FC">
        <w:rPr>
          <w:rFonts w:asciiTheme="majorBidi" w:hAnsiTheme="majorBidi" w:cstheme="majorBidi"/>
          <w:noProof/>
          <w:sz w:val="24"/>
          <w:szCs w:val="24"/>
          <w:vertAlign w:val="subscript"/>
        </w:rPr>
        <w:t>3</w:t>
      </w:r>
      <w:r>
        <w:rPr>
          <w:rFonts w:asciiTheme="majorBidi" w:hAnsiTheme="majorBidi" w:cstheme="majorBidi"/>
          <w:noProof/>
          <w:sz w:val="24"/>
          <w:szCs w:val="24"/>
        </w:rPr>
        <w:t>) est injecté dans la colonne de la chromatographie à phase gaseuse équipé</w:t>
      </w:r>
      <w:r w:rsidR="00F033BA">
        <w:rPr>
          <w:rFonts w:asciiTheme="majorBidi" w:hAnsiTheme="majorBidi" w:cstheme="majorBidi"/>
          <w:noProof/>
          <w:sz w:val="24"/>
          <w:szCs w:val="24"/>
        </w:rPr>
        <w:t xml:space="preserve"> </w:t>
      </w:r>
      <w:r>
        <w:rPr>
          <w:rFonts w:asciiTheme="majorBidi" w:hAnsiTheme="majorBidi" w:cstheme="majorBidi"/>
          <w:noProof/>
          <w:sz w:val="24"/>
          <w:szCs w:val="24"/>
        </w:rPr>
        <w:t xml:space="preserve">d’une colonne capillaire </w:t>
      </w:r>
      <w:r w:rsidR="000147A3">
        <w:rPr>
          <w:rFonts w:asciiTheme="majorBidi" w:hAnsiTheme="majorBidi" w:cstheme="majorBidi"/>
          <w:noProof/>
          <w:sz w:val="24"/>
          <w:szCs w:val="24"/>
        </w:rPr>
        <w:t xml:space="preserve">HP-FFAP </w:t>
      </w:r>
      <w:r>
        <w:rPr>
          <w:rFonts w:asciiTheme="majorBidi" w:hAnsiTheme="majorBidi" w:cstheme="majorBidi"/>
          <w:noProof/>
          <w:sz w:val="24"/>
          <w:szCs w:val="24"/>
        </w:rPr>
        <w:t xml:space="preserve">et d’un détecteur à ionisation de flamme (FID). Le </w:t>
      </w:r>
      <w:r w:rsidR="007B6302">
        <w:rPr>
          <w:rFonts w:asciiTheme="majorBidi" w:hAnsiTheme="majorBidi" w:cstheme="majorBidi"/>
          <w:b/>
          <w:bCs/>
          <w:noProof/>
          <w:sz w:val="24"/>
          <w:szCs w:val="24"/>
        </w:rPr>
        <w:t>T</w:t>
      </w:r>
      <w:r w:rsidRPr="00F033BA">
        <w:rPr>
          <w:rFonts w:asciiTheme="majorBidi" w:hAnsiTheme="majorBidi" w:cstheme="majorBidi"/>
          <w:b/>
          <w:bCs/>
          <w:noProof/>
          <w:sz w:val="24"/>
          <w:szCs w:val="24"/>
        </w:rPr>
        <w:t>ableau II.</w:t>
      </w:r>
      <w:r w:rsidR="001D3922">
        <w:rPr>
          <w:rFonts w:asciiTheme="majorBidi" w:hAnsiTheme="majorBidi" w:cstheme="majorBidi"/>
          <w:b/>
          <w:bCs/>
          <w:noProof/>
          <w:sz w:val="24"/>
          <w:szCs w:val="24"/>
        </w:rPr>
        <w:t>2</w:t>
      </w:r>
      <w:r>
        <w:rPr>
          <w:rFonts w:asciiTheme="majorBidi" w:hAnsiTheme="majorBidi" w:cstheme="majorBidi"/>
          <w:noProof/>
          <w:sz w:val="24"/>
          <w:szCs w:val="24"/>
        </w:rPr>
        <w:t xml:space="preserve"> détaille les conditions d</w:t>
      </w:r>
      <w:r w:rsidR="000F11FC">
        <w:rPr>
          <w:rFonts w:asciiTheme="majorBidi" w:hAnsiTheme="majorBidi" w:cstheme="majorBidi"/>
          <w:noProof/>
          <w:sz w:val="24"/>
          <w:szCs w:val="24"/>
        </w:rPr>
        <w:t>e l</w:t>
      </w:r>
      <w:r>
        <w:rPr>
          <w:rFonts w:asciiTheme="majorBidi" w:hAnsiTheme="majorBidi" w:cstheme="majorBidi"/>
          <w:noProof/>
          <w:sz w:val="24"/>
          <w:szCs w:val="24"/>
        </w:rPr>
        <w:t>’analyse.</w:t>
      </w:r>
    </w:p>
    <w:p w:rsidR="00A90324" w:rsidRDefault="00A90324" w:rsidP="00FD483B">
      <w:pPr>
        <w:spacing w:after="0" w:line="360" w:lineRule="auto"/>
        <w:ind w:firstLine="567"/>
        <w:jc w:val="both"/>
        <w:rPr>
          <w:rFonts w:asciiTheme="majorBidi" w:hAnsiTheme="majorBidi" w:cstheme="majorBidi"/>
          <w:noProof/>
          <w:sz w:val="24"/>
          <w:szCs w:val="24"/>
        </w:rPr>
      </w:pPr>
    </w:p>
    <w:p w:rsidR="00A90324" w:rsidRDefault="00A90324" w:rsidP="00FD483B">
      <w:pPr>
        <w:spacing w:after="0" w:line="360" w:lineRule="auto"/>
        <w:ind w:firstLine="567"/>
        <w:jc w:val="both"/>
        <w:rPr>
          <w:rFonts w:asciiTheme="majorBidi" w:hAnsiTheme="majorBidi" w:cstheme="majorBidi"/>
          <w:noProof/>
          <w:sz w:val="24"/>
          <w:szCs w:val="24"/>
        </w:rPr>
      </w:pPr>
    </w:p>
    <w:p w:rsidR="00A90324" w:rsidRDefault="00A90324" w:rsidP="00FD483B">
      <w:pPr>
        <w:spacing w:after="0" w:line="360" w:lineRule="auto"/>
        <w:ind w:firstLine="567"/>
        <w:jc w:val="both"/>
        <w:rPr>
          <w:rFonts w:asciiTheme="majorBidi" w:hAnsiTheme="majorBidi" w:cstheme="majorBidi"/>
          <w:noProof/>
          <w:sz w:val="24"/>
          <w:szCs w:val="24"/>
        </w:rPr>
      </w:pPr>
    </w:p>
    <w:p w:rsidR="00801EF0" w:rsidRDefault="00801EF0" w:rsidP="00FD483B">
      <w:pPr>
        <w:spacing w:after="0" w:line="360" w:lineRule="auto"/>
        <w:ind w:firstLine="284"/>
        <w:jc w:val="both"/>
        <w:rPr>
          <w:rFonts w:asciiTheme="majorBidi" w:hAnsiTheme="majorBidi" w:cstheme="majorBidi"/>
          <w:noProof/>
          <w:sz w:val="24"/>
          <w:szCs w:val="24"/>
        </w:rPr>
      </w:pPr>
    </w:p>
    <w:p w:rsidR="00FD483B" w:rsidRDefault="00FD483B" w:rsidP="00FD483B">
      <w:pPr>
        <w:spacing w:after="0" w:line="360" w:lineRule="auto"/>
        <w:ind w:firstLine="284"/>
        <w:jc w:val="both"/>
        <w:rPr>
          <w:rFonts w:asciiTheme="majorBidi" w:hAnsiTheme="majorBidi" w:cstheme="majorBidi"/>
          <w:noProof/>
          <w:sz w:val="24"/>
          <w:szCs w:val="24"/>
        </w:rPr>
      </w:pPr>
    </w:p>
    <w:p w:rsidR="00A34BA3" w:rsidRPr="00C64066" w:rsidRDefault="00A34BA3" w:rsidP="00FD483B">
      <w:pPr>
        <w:spacing w:after="0" w:line="360" w:lineRule="auto"/>
        <w:ind w:firstLine="284"/>
        <w:jc w:val="both"/>
        <w:rPr>
          <w:rFonts w:asciiTheme="majorBidi" w:hAnsiTheme="majorBidi" w:cstheme="majorBidi"/>
          <w:noProof/>
        </w:rPr>
      </w:pPr>
      <w:r w:rsidRPr="00C64066">
        <w:rPr>
          <w:rFonts w:asciiTheme="majorBidi" w:hAnsiTheme="majorBidi" w:cstheme="majorBidi"/>
          <w:b/>
          <w:bCs/>
          <w:noProof/>
        </w:rPr>
        <w:lastRenderedPageBreak/>
        <w:t>Tableau II.</w:t>
      </w:r>
      <w:r w:rsidR="00CF269C" w:rsidRPr="00C64066">
        <w:rPr>
          <w:rFonts w:asciiTheme="majorBidi" w:hAnsiTheme="majorBidi" w:cstheme="majorBidi"/>
          <w:b/>
          <w:bCs/>
          <w:noProof/>
        </w:rPr>
        <w:t>2</w:t>
      </w:r>
      <w:r w:rsidRPr="00C64066">
        <w:rPr>
          <w:rFonts w:asciiTheme="majorBidi" w:hAnsiTheme="majorBidi" w:cstheme="majorBidi"/>
          <w:noProof/>
        </w:rPr>
        <w:t> : Conditions d’analyse par chromatographie en phase gazeuse</w:t>
      </w:r>
    </w:p>
    <w:tbl>
      <w:tblPr>
        <w:tblStyle w:val="Grilledutableau"/>
        <w:tblW w:w="0" w:type="auto"/>
        <w:jc w:val="center"/>
        <w:tblLook w:val="04A0"/>
      </w:tblPr>
      <w:tblGrid>
        <w:gridCol w:w="4606"/>
        <w:gridCol w:w="4606"/>
      </w:tblGrid>
      <w:tr w:rsidR="00D04126" w:rsidTr="000F11FC">
        <w:trPr>
          <w:jc w:val="center"/>
        </w:trPr>
        <w:tc>
          <w:tcPr>
            <w:tcW w:w="4606" w:type="dxa"/>
            <w:vAlign w:val="center"/>
          </w:tcPr>
          <w:p w:rsidR="00D04126" w:rsidRDefault="00D04126"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Chromatographie</w:t>
            </w:r>
          </w:p>
        </w:tc>
        <w:tc>
          <w:tcPr>
            <w:tcW w:w="4606" w:type="dxa"/>
            <w:vAlign w:val="center"/>
          </w:tcPr>
          <w:p w:rsidR="00D04126" w:rsidRDefault="00E7000C"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SCHIMADZU GC14-B</w:t>
            </w:r>
          </w:p>
        </w:tc>
      </w:tr>
      <w:tr w:rsidR="00D04126" w:rsidTr="000F11FC">
        <w:trPr>
          <w:trHeight w:val="350"/>
          <w:jc w:val="center"/>
        </w:trPr>
        <w:tc>
          <w:tcPr>
            <w:tcW w:w="4606" w:type="dxa"/>
            <w:vAlign w:val="center"/>
          </w:tcPr>
          <w:p w:rsidR="00D04126" w:rsidRDefault="00D04126"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Colonne</w:t>
            </w:r>
          </w:p>
        </w:tc>
        <w:tc>
          <w:tcPr>
            <w:tcW w:w="4606" w:type="dxa"/>
            <w:vAlign w:val="center"/>
          </w:tcPr>
          <w:p w:rsidR="00D04126" w:rsidRDefault="00E7000C"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HP-FFAP</w:t>
            </w:r>
          </w:p>
        </w:tc>
      </w:tr>
      <w:tr w:rsidR="00D04126" w:rsidTr="000F11FC">
        <w:trPr>
          <w:jc w:val="center"/>
        </w:trPr>
        <w:tc>
          <w:tcPr>
            <w:tcW w:w="4606" w:type="dxa"/>
            <w:vAlign w:val="center"/>
          </w:tcPr>
          <w:p w:rsidR="00D04126" w:rsidRDefault="00D04126"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 xml:space="preserve">Température </w:t>
            </w:r>
            <w:r w:rsidR="007C5713">
              <w:rPr>
                <w:rFonts w:asciiTheme="majorBidi" w:hAnsiTheme="majorBidi" w:cstheme="majorBidi"/>
                <w:noProof/>
                <w:sz w:val="24"/>
                <w:szCs w:val="24"/>
              </w:rPr>
              <w:t>initial</w:t>
            </w:r>
            <w:r w:rsidR="000F11FC">
              <w:rPr>
                <w:rFonts w:asciiTheme="majorBidi" w:hAnsiTheme="majorBidi" w:cstheme="majorBidi"/>
                <w:noProof/>
                <w:sz w:val="24"/>
                <w:szCs w:val="24"/>
              </w:rPr>
              <w:t>e</w:t>
            </w:r>
          </w:p>
        </w:tc>
        <w:tc>
          <w:tcPr>
            <w:tcW w:w="4606" w:type="dxa"/>
            <w:vAlign w:val="center"/>
          </w:tcPr>
          <w:p w:rsidR="00D04126"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80</w:t>
            </w:r>
            <w:r w:rsidR="00443EA2">
              <w:rPr>
                <w:rFonts w:asciiTheme="majorBidi" w:hAnsiTheme="majorBidi" w:cstheme="majorBidi"/>
                <w:noProof/>
                <w:sz w:val="24"/>
                <w:szCs w:val="24"/>
              </w:rPr>
              <w:t>° C</w:t>
            </w:r>
          </w:p>
        </w:tc>
      </w:tr>
      <w:tr w:rsidR="00D04126" w:rsidTr="000F11FC">
        <w:trPr>
          <w:jc w:val="center"/>
        </w:trPr>
        <w:tc>
          <w:tcPr>
            <w:tcW w:w="4606" w:type="dxa"/>
            <w:vAlign w:val="center"/>
          </w:tcPr>
          <w:p w:rsidR="00D04126" w:rsidRDefault="00D04126"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 xml:space="preserve">Température </w:t>
            </w:r>
            <w:r w:rsidR="007C5713">
              <w:rPr>
                <w:rFonts w:asciiTheme="majorBidi" w:hAnsiTheme="majorBidi" w:cstheme="majorBidi"/>
                <w:noProof/>
                <w:sz w:val="24"/>
                <w:szCs w:val="24"/>
              </w:rPr>
              <w:t>final</w:t>
            </w:r>
            <w:r w:rsidR="000F11FC">
              <w:rPr>
                <w:rFonts w:asciiTheme="majorBidi" w:hAnsiTheme="majorBidi" w:cstheme="majorBidi"/>
                <w:noProof/>
                <w:sz w:val="24"/>
                <w:szCs w:val="24"/>
              </w:rPr>
              <w:t>e</w:t>
            </w:r>
          </w:p>
        </w:tc>
        <w:tc>
          <w:tcPr>
            <w:tcW w:w="4606" w:type="dxa"/>
            <w:vAlign w:val="center"/>
          </w:tcPr>
          <w:p w:rsidR="00D04126"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120</w:t>
            </w:r>
            <w:r w:rsidR="00443EA2">
              <w:rPr>
                <w:rFonts w:asciiTheme="majorBidi" w:hAnsiTheme="majorBidi" w:cstheme="majorBidi"/>
                <w:noProof/>
                <w:sz w:val="24"/>
                <w:szCs w:val="24"/>
              </w:rPr>
              <w:t>° C</w:t>
            </w:r>
          </w:p>
        </w:tc>
      </w:tr>
      <w:tr w:rsidR="00622AD1" w:rsidTr="000F11FC">
        <w:trPr>
          <w:jc w:val="center"/>
        </w:trPr>
        <w:tc>
          <w:tcPr>
            <w:tcW w:w="4606" w:type="dxa"/>
            <w:vAlign w:val="center"/>
          </w:tcPr>
          <w:p w:rsidR="00622AD1"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Temps initial</w:t>
            </w:r>
          </w:p>
        </w:tc>
        <w:tc>
          <w:tcPr>
            <w:tcW w:w="4606" w:type="dxa"/>
            <w:vAlign w:val="center"/>
          </w:tcPr>
          <w:p w:rsidR="00622AD1"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4 min</w:t>
            </w:r>
          </w:p>
        </w:tc>
      </w:tr>
      <w:tr w:rsidR="00622AD1" w:rsidTr="000F11FC">
        <w:trPr>
          <w:jc w:val="center"/>
        </w:trPr>
        <w:tc>
          <w:tcPr>
            <w:tcW w:w="4606" w:type="dxa"/>
            <w:vAlign w:val="center"/>
          </w:tcPr>
          <w:p w:rsidR="0036642F"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Temps final</w:t>
            </w:r>
          </w:p>
        </w:tc>
        <w:tc>
          <w:tcPr>
            <w:tcW w:w="4606" w:type="dxa"/>
            <w:vAlign w:val="center"/>
          </w:tcPr>
          <w:p w:rsidR="00622AD1"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12 min</w:t>
            </w:r>
          </w:p>
        </w:tc>
      </w:tr>
      <w:tr w:rsidR="00622AD1" w:rsidTr="000F11FC">
        <w:trPr>
          <w:jc w:val="center"/>
        </w:trPr>
        <w:tc>
          <w:tcPr>
            <w:tcW w:w="4606" w:type="dxa"/>
            <w:vAlign w:val="center"/>
          </w:tcPr>
          <w:p w:rsidR="00622AD1"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Monté de Température</w:t>
            </w:r>
          </w:p>
        </w:tc>
        <w:tc>
          <w:tcPr>
            <w:tcW w:w="4606" w:type="dxa"/>
            <w:vAlign w:val="center"/>
          </w:tcPr>
          <w:p w:rsidR="00622AD1" w:rsidRDefault="0036642F"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10°C/min</w:t>
            </w:r>
          </w:p>
        </w:tc>
      </w:tr>
      <w:tr w:rsidR="007C5713" w:rsidTr="000F11FC">
        <w:trPr>
          <w:jc w:val="center"/>
        </w:trPr>
        <w:tc>
          <w:tcPr>
            <w:tcW w:w="4606" w:type="dxa"/>
            <w:vAlign w:val="center"/>
          </w:tcPr>
          <w:p w:rsidR="007C5713" w:rsidRPr="007E2B45" w:rsidRDefault="007C5713" w:rsidP="000F11FC">
            <w:pPr>
              <w:spacing w:line="360" w:lineRule="auto"/>
              <w:jc w:val="center"/>
              <w:rPr>
                <w:rFonts w:asciiTheme="majorBidi" w:hAnsiTheme="majorBidi"/>
                <w:sz w:val="24"/>
                <w:szCs w:val="24"/>
              </w:rPr>
            </w:pPr>
            <w:r w:rsidRPr="007E2B45">
              <w:rPr>
                <w:rFonts w:asciiTheme="majorBidi" w:hAnsiTheme="majorBidi"/>
                <w:sz w:val="24"/>
                <w:szCs w:val="24"/>
              </w:rPr>
              <w:t>Débit de split</w:t>
            </w:r>
          </w:p>
        </w:tc>
        <w:tc>
          <w:tcPr>
            <w:tcW w:w="4606" w:type="dxa"/>
            <w:vAlign w:val="center"/>
          </w:tcPr>
          <w:p w:rsidR="007C5713" w:rsidRPr="007E2B45" w:rsidRDefault="00622AD1" w:rsidP="000F11FC">
            <w:pPr>
              <w:spacing w:line="360" w:lineRule="auto"/>
              <w:jc w:val="center"/>
              <w:rPr>
                <w:rFonts w:asciiTheme="majorBidi" w:hAnsiTheme="majorBidi"/>
                <w:sz w:val="24"/>
                <w:szCs w:val="24"/>
              </w:rPr>
            </w:pPr>
            <w:r>
              <w:rPr>
                <w:rFonts w:asciiTheme="majorBidi" w:hAnsiTheme="majorBidi"/>
                <w:sz w:val="24"/>
                <w:szCs w:val="24"/>
              </w:rPr>
              <w:t xml:space="preserve">200 </w:t>
            </w:r>
            <w:r w:rsidR="007C5713" w:rsidRPr="007E2B45">
              <w:rPr>
                <w:rFonts w:asciiTheme="majorBidi" w:hAnsiTheme="majorBidi"/>
                <w:sz w:val="24"/>
                <w:szCs w:val="24"/>
              </w:rPr>
              <w:t>mL/min</w:t>
            </w:r>
          </w:p>
        </w:tc>
      </w:tr>
      <w:tr w:rsidR="007C5713" w:rsidTr="000F11FC">
        <w:trPr>
          <w:jc w:val="center"/>
        </w:trPr>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sidRPr="007E2B45">
              <w:rPr>
                <w:rFonts w:asciiTheme="majorBidi" w:hAnsiTheme="majorBidi"/>
                <w:sz w:val="24"/>
                <w:szCs w:val="24"/>
              </w:rPr>
              <w:t xml:space="preserve">Pression </w:t>
            </w:r>
            <w:r>
              <w:rPr>
                <w:rFonts w:asciiTheme="majorBidi" w:hAnsiTheme="majorBidi"/>
                <w:sz w:val="24"/>
                <w:szCs w:val="24"/>
              </w:rPr>
              <w:t xml:space="preserve">de </w:t>
            </w:r>
            <w:r w:rsidRPr="007E2B45">
              <w:rPr>
                <w:rFonts w:asciiTheme="majorBidi" w:hAnsiTheme="majorBidi"/>
                <w:sz w:val="24"/>
                <w:szCs w:val="24"/>
              </w:rPr>
              <w:t>N</w:t>
            </w:r>
            <w:r w:rsidRPr="007E2B45">
              <w:rPr>
                <w:rFonts w:asciiTheme="majorBidi" w:hAnsiTheme="majorBidi"/>
                <w:sz w:val="24"/>
                <w:szCs w:val="24"/>
                <w:vertAlign w:val="subscript"/>
              </w:rPr>
              <w:t>2</w:t>
            </w:r>
          </w:p>
        </w:tc>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28</w:t>
            </w:r>
            <w:r w:rsidR="000F11FC">
              <w:rPr>
                <w:rFonts w:asciiTheme="majorBidi" w:hAnsiTheme="majorBidi" w:cstheme="majorBidi"/>
                <w:noProof/>
                <w:sz w:val="24"/>
                <w:szCs w:val="24"/>
              </w:rPr>
              <w:t xml:space="preserve"> Kpa</w:t>
            </w:r>
          </w:p>
        </w:tc>
      </w:tr>
      <w:tr w:rsidR="007C5713" w:rsidTr="000F11FC">
        <w:trPr>
          <w:jc w:val="center"/>
        </w:trPr>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sidRPr="007E2B45">
              <w:rPr>
                <w:rFonts w:asciiTheme="majorBidi" w:hAnsiTheme="majorBidi"/>
                <w:sz w:val="24"/>
                <w:szCs w:val="24"/>
              </w:rPr>
              <w:t xml:space="preserve">Pression </w:t>
            </w:r>
            <w:r>
              <w:rPr>
                <w:rFonts w:asciiTheme="majorBidi" w:hAnsiTheme="majorBidi"/>
                <w:sz w:val="24"/>
                <w:szCs w:val="24"/>
              </w:rPr>
              <w:t xml:space="preserve">de </w:t>
            </w:r>
            <w:r w:rsidRPr="007E2B45">
              <w:rPr>
                <w:rFonts w:asciiTheme="majorBidi" w:hAnsiTheme="majorBidi"/>
                <w:sz w:val="24"/>
                <w:szCs w:val="24"/>
              </w:rPr>
              <w:t>H</w:t>
            </w:r>
            <w:r w:rsidRPr="007E2B45">
              <w:rPr>
                <w:rFonts w:asciiTheme="majorBidi" w:hAnsiTheme="majorBidi"/>
                <w:sz w:val="24"/>
                <w:szCs w:val="24"/>
                <w:vertAlign w:val="subscript"/>
              </w:rPr>
              <w:t>2</w:t>
            </w:r>
          </w:p>
        </w:tc>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40</w:t>
            </w:r>
            <w:r w:rsidR="000F11FC">
              <w:rPr>
                <w:rFonts w:asciiTheme="majorBidi" w:hAnsiTheme="majorBidi" w:cstheme="majorBidi"/>
                <w:noProof/>
                <w:sz w:val="24"/>
                <w:szCs w:val="24"/>
              </w:rPr>
              <w:t xml:space="preserve"> Kpa</w:t>
            </w:r>
          </w:p>
        </w:tc>
      </w:tr>
      <w:tr w:rsidR="007C5713" w:rsidTr="000F11FC">
        <w:trPr>
          <w:jc w:val="center"/>
        </w:trPr>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sidRPr="007E2B45">
              <w:rPr>
                <w:rFonts w:asciiTheme="majorBidi" w:hAnsiTheme="majorBidi"/>
                <w:sz w:val="24"/>
                <w:szCs w:val="24"/>
              </w:rPr>
              <w:t>Pression</w:t>
            </w:r>
            <w:r>
              <w:rPr>
                <w:rFonts w:asciiTheme="majorBidi" w:hAnsiTheme="majorBidi"/>
                <w:sz w:val="24"/>
                <w:szCs w:val="24"/>
              </w:rPr>
              <w:t xml:space="preserve"> d’O</w:t>
            </w:r>
            <w:r w:rsidRPr="007B6302">
              <w:rPr>
                <w:rFonts w:asciiTheme="majorBidi" w:hAnsiTheme="majorBidi"/>
                <w:sz w:val="24"/>
                <w:szCs w:val="24"/>
                <w:vertAlign w:val="subscript"/>
              </w:rPr>
              <w:t>2</w:t>
            </w:r>
          </w:p>
        </w:tc>
        <w:tc>
          <w:tcPr>
            <w:tcW w:w="4606" w:type="dxa"/>
            <w:vAlign w:val="center"/>
          </w:tcPr>
          <w:p w:rsidR="007C5713" w:rsidRPr="007C5713"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20</w:t>
            </w:r>
            <w:r w:rsidR="000F11FC">
              <w:rPr>
                <w:rFonts w:asciiTheme="majorBidi" w:hAnsiTheme="majorBidi" w:cstheme="majorBidi"/>
                <w:noProof/>
                <w:sz w:val="24"/>
                <w:szCs w:val="24"/>
              </w:rPr>
              <w:t xml:space="preserve"> Kpa</w:t>
            </w:r>
          </w:p>
        </w:tc>
      </w:tr>
      <w:tr w:rsidR="007C5713" w:rsidTr="000F11FC">
        <w:trPr>
          <w:jc w:val="center"/>
        </w:trPr>
        <w:tc>
          <w:tcPr>
            <w:tcW w:w="4606" w:type="dxa"/>
            <w:vAlign w:val="center"/>
          </w:tcPr>
          <w:p w:rsidR="007C5713" w:rsidRDefault="007C5713"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Durée de l’analyse</w:t>
            </w:r>
          </w:p>
        </w:tc>
        <w:tc>
          <w:tcPr>
            <w:tcW w:w="4606" w:type="dxa"/>
            <w:vAlign w:val="center"/>
          </w:tcPr>
          <w:p w:rsidR="007C5713" w:rsidRPr="007C5713" w:rsidRDefault="00622AD1" w:rsidP="000F11FC">
            <w:pPr>
              <w:spacing w:line="360" w:lineRule="auto"/>
              <w:jc w:val="center"/>
              <w:rPr>
                <w:rFonts w:asciiTheme="majorBidi" w:hAnsiTheme="majorBidi" w:cstheme="majorBidi"/>
                <w:noProof/>
                <w:sz w:val="24"/>
                <w:szCs w:val="24"/>
              </w:rPr>
            </w:pPr>
            <w:r>
              <w:rPr>
                <w:rFonts w:asciiTheme="majorBidi" w:hAnsiTheme="majorBidi" w:cstheme="majorBidi"/>
                <w:noProof/>
                <w:sz w:val="24"/>
                <w:szCs w:val="24"/>
              </w:rPr>
              <w:t>20</w:t>
            </w:r>
            <w:r w:rsidR="007C5713">
              <w:rPr>
                <w:rFonts w:asciiTheme="majorBidi" w:hAnsiTheme="majorBidi" w:cstheme="majorBidi"/>
                <w:noProof/>
                <w:sz w:val="24"/>
                <w:szCs w:val="24"/>
              </w:rPr>
              <w:t xml:space="preserve"> min</w:t>
            </w:r>
          </w:p>
        </w:tc>
      </w:tr>
    </w:tbl>
    <w:p w:rsidR="000B7B69" w:rsidRDefault="000B7B69" w:rsidP="00FD483B">
      <w:pPr>
        <w:spacing w:after="0" w:line="360" w:lineRule="auto"/>
        <w:ind w:firstLine="284"/>
        <w:jc w:val="both"/>
        <w:rPr>
          <w:rFonts w:asciiTheme="majorBidi" w:hAnsiTheme="majorBidi" w:cstheme="majorBidi"/>
          <w:sz w:val="24"/>
          <w:szCs w:val="24"/>
        </w:rPr>
      </w:pPr>
    </w:p>
    <w:p w:rsidR="00A82506" w:rsidRDefault="000147A3" w:rsidP="00FD483B">
      <w:pPr>
        <w:spacing w:after="0" w:line="360" w:lineRule="auto"/>
        <w:ind w:firstLine="284"/>
        <w:jc w:val="both"/>
        <w:rPr>
          <w:rFonts w:asciiTheme="majorBidi" w:hAnsiTheme="majorBidi" w:cstheme="majorBidi"/>
          <w:noProof/>
          <w:sz w:val="24"/>
          <w:szCs w:val="24"/>
        </w:rPr>
      </w:pPr>
      <w:r w:rsidRPr="00F033BA">
        <w:rPr>
          <w:rFonts w:asciiTheme="majorBidi" w:hAnsiTheme="majorBidi" w:cstheme="majorBidi"/>
          <w:sz w:val="24"/>
          <w:szCs w:val="24"/>
        </w:rPr>
        <w:t>Les</w:t>
      </w:r>
      <w:r w:rsidR="00D04126" w:rsidRPr="00F033BA">
        <w:rPr>
          <w:rFonts w:asciiTheme="majorBidi" w:hAnsiTheme="majorBidi" w:cstheme="majorBidi"/>
          <w:sz w:val="24"/>
          <w:szCs w:val="24"/>
        </w:rPr>
        <w:t xml:space="preserve"> temps de rétention des produits purs  (</w:t>
      </w:r>
      <w:r w:rsidR="00A34BA3">
        <w:rPr>
          <w:rFonts w:asciiTheme="majorBidi" w:hAnsiTheme="majorBidi" w:cstheme="majorBidi"/>
          <w:sz w:val="24"/>
          <w:szCs w:val="24"/>
        </w:rPr>
        <w:t xml:space="preserve">cyclohéxène, </w:t>
      </w:r>
      <w:r w:rsidR="00D04126" w:rsidRPr="00F033BA">
        <w:rPr>
          <w:rFonts w:asciiTheme="majorBidi" w:hAnsiTheme="majorBidi" w:cstheme="majorBidi"/>
          <w:sz w:val="24"/>
          <w:szCs w:val="24"/>
        </w:rPr>
        <w:t>époxyde, cyclohexanone, cyclohex</w:t>
      </w:r>
      <w:r w:rsidR="008F56C1" w:rsidRPr="00F033BA">
        <w:rPr>
          <w:rFonts w:asciiTheme="majorBidi" w:hAnsiTheme="majorBidi" w:cstheme="majorBidi"/>
          <w:sz w:val="24"/>
          <w:szCs w:val="24"/>
        </w:rPr>
        <w:t>a</w:t>
      </w:r>
      <w:r w:rsidR="00AA5C10" w:rsidRPr="00F033BA">
        <w:rPr>
          <w:rFonts w:asciiTheme="majorBidi" w:hAnsiTheme="majorBidi" w:cstheme="majorBidi"/>
          <w:sz w:val="24"/>
          <w:szCs w:val="24"/>
        </w:rPr>
        <w:t xml:space="preserve">nol, </w:t>
      </w:r>
      <w:r w:rsidR="008D3FE0" w:rsidRPr="00F033BA">
        <w:rPr>
          <w:rFonts w:asciiTheme="majorBidi" w:hAnsiTheme="majorBidi" w:cstheme="majorBidi"/>
          <w:sz w:val="24"/>
          <w:szCs w:val="24"/>
        </w:rPr>
        <w:t>cyc</w:t>
      </w:r>
      <w:r w:rsidR="008F56C1" w:rsidRPr="00F033BA">
        <w:rPr>
          <w:rFonts w:asciiTheme="majorBidi" w:hAnsiTheme="majorBidi" w:cstheme="majorBidi"/>
          <w:sz w:val="24"/>
          <w:szCs w:val="24"/>
        </w:rPr>
        <w:t xml:space="preserve">lohexénone, cyclohexénol, </w:t>
      </w:r>
      <w:r w:rsidR="009F21DF">
        <w:rPr>
          <w:rFonts w:asciiTheme="majorBidi" w:hAnsiTheme="majorBidi" w:cstheme="majorBidi"/>
          <w:sz w:val="24"/>
          <w:szCs w:val="24"/>
        </w:rPr>
        <w:t>Cyclohexen-</w:t>
      </w:r>
      <w:r w:rsidR="00AA5C10" w:rsidRPr="00F033BA">
        <w:rPr>
          <w:rFonts w:asciiTheme="majorBidi" w:hAnsiTheme="majorBidi" w:cstheme="majorBidi"/>
          <w:sz w:val="24"/>
          <w:szCs w:val="24"/>
        </w:rPr>
        <w:t xml:space="preserve">diol, </w:t>
      </w:r>
      <w:r w:rsidR="00A34BA3">
        <w:rPr>
          <w:rFonts w:asciiTheme="majorBidi" w:hAnsiTheme="majorBidi" w:cstheme="majorBidi"/>
          <w:sz w:val="24"/>
          <w:szCs w:val="24"/>
        </w:rPr>
        <w:t>heptane</w:t>
      </w:r>
      <w:r w:rsidR="009F21DF">
        <w:rPr>
          <w:rFonts w:asciiTheme="majorBidi" w:hAnsiTheme="majorBidi" w:cstheme="majorBidi"/>
          <w:sz w:val="24"/>
          <w:szCs w:val="24"/>
        </w:rPr>
        <w:t>, pentanol</w:t>
      </w:r>
      <w:r w:rsidR="00CF269C">
        <w:rPr>
          <w:rFonts w:asciiTheme="majorBidi" w:hAnsiTheme="majorBidi" w:cstheme="majorBidi"/>
          <w:sz w:val="24"/>
          <w:szCs w:val="24"/>
        </w:rPr>
        <w:t xml:space="preserve">) sont donnés ci-dessous </w:t>
      </w:r>
      <w:r w:rsidR="00CF269C" w:rsidRPr="001D3922">
        <w:rPr>
          <w:rFonts w:asciiTheme="majorBidi" w:hAnsiTheme="majorBidi" w:cstheme="majorBidi"/>
          <w:b/>
          <w:bCs/>
          <w:noProof/>
          <w:sz w:val="24"/>
          <w:szCs w:val="24"/>
        </w:rPr>
        <w:t>(Tableau II.</w:t>
      </w:r>
      <w:r w:rsidR="001D3922" w:rsidRPr="001D3922">
        <w:rPr>
          <w:rFonts w:asciiTheme="majorBidi" w:hAnsiTheme="majorBidi" w:cstheme="majorBidi"/>
          <w:b/>
          <w:bCs/>
          <w:noProof/>
          <w:sz w:val="24"/>
          <w:szCs w:val="24"/>
        </w:rPr>
        <w:t>3</w:t>
      </w:r>
      <w:r w:rsidR="00CF269C" w:rsidRPr="001D3922">
        <w:rPr>
          <w:rFonts w:asciiTheme="majorBidi" w:hAnsiTheme="majorBidi" w:cstheme="majorBidi"/>
          <w:b/>
          <w:bCs/>
          <w:noProof/>
          <w:sz w:val="24"/>
          <w:szCs w:val="24"/>
        </w:rPr>
        <w:t>)</w:t>
      </w:r>
      <w:r w:rsidR="00CF269C" w:rsidRPr="001D3922">
        <w:rPr>
          <w:rFonts w:asciiTheme="majorBidi" w:hAnsiTheme="majorBidi" w:cstheme="majorBidi"/>
          <w:noProof/>
          <w:sz w:val="24"/>
          <w:szCs w:val="24"/>
        </w:rPr>
        <w:t>. </w:t>
      </w:r>
    </w:p>
    <w:p w:rsidR="00801EF0" w:rsidRDefault="00801EF0" w:rsidP="00FD483B">
      <w:pPr>
        <w:spacing w:after="0" w:line="360" w:lineRule="auto"/>
        <w:ind w:firstLine="284"/>
        <w:jc w:val="both"/>
        <w:rPr>
          <w:rFonts w:asciiTheme="majorBidi" w:hAnsiTheme="majorBidi" w:cstheme="majorBidi"/>
          <w:noProof/>
          <w:sz w:val="24"/>
          <w:szCs w:val="24"/>
        </w:rPr>
      </w:pPr>
    </w:p>
    <w:p w:rsidR="00B728A2" w:rsidRPr="00C64066" w:rsidRDefault="00B728A2" w:rsidP="00FD483B">
      <w:pPr>
        <w:spacing w:after="0" w:line="360" w:lineRule="auto"/>
        <w:jc w:val="both"/>
        <w:rPr>
          <w:rFonts w:asciiTheme="majorBidi" w:hAnsiTheme="majorBidi" w:cstheme="majorBidi"/>
          <w:noProof/>
        </w:rPr>
      </w:pPr>
      <w:r w:rsidRPr="00C64066">
        <w:rPr>
          <w:rFonts w:asciiTheme="majorBidi" w:hAnsiTheme="majorBidi" w:cstheme="majorBidi"/>
          <w:b/>
          <w:bCs/>
          <w:noProof/>
        </w:rPr>
        <w:t>Tableau II.3</w:t>
      </w:r>
      <w:r w:rsidRPr="00C64066">
        <w:rPr>
          <w:rFonts w:asciiTheme="majorBidi" w:hAnsiTheme="majorBidi" w:cstheme="majorBidi"/>
          <w:noProof/>
        </w:rPr>
        <w:t> : Temps de rétention des produits purs dans les conditions d’analyse.</w:t>
      </w:r>
    </w:p>
    <w:tbl>
      <w:tblPr>
        <w:tblStyle w:val="Grilledutableau"/>
        <w:tblpPr w:leftFromText="141" w:rightFromText="141" w:vertAnchor="text" w:horzAnchor="margin" w:tblpXSpec="center" w:tblpY="292"/>
        <w:tblW w:w="0" w:type="auto"/>
        <w:tblLook w:val="04A0"/>
      </w:tblPr>
      <w:tblGrid>
        <w:gridCol w:w="4606"/>
        <w:gridCol w:w="4606"/>
      </w:tblGrid>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Composé</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Temps de rétention</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cyclohéxène</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2,64</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cyclohexanone</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6,63</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cyclohexanol</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8,3</w:t>
            </w:r>
            <w:r>
              <w:rPr>
                <w:rFonts w:asciiTheme="majorBidi" w:hAnsiTheme="majorBidi" w:cstheme="majorBidi"/>
                <w:sz w:val="24"/>
                <w:szCs w:val="24"/>
              </w:rPr>
              <w:t>0</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cyclohexénone</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9,19</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cyclohexénol</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9,66</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Epoxyde</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sidRPr="0098432E">
              <w:rPr>
                <w:rFonts w:asciiTheme="majorBidi" w:hAnsiTheme="majorBidi" w:cstheme="majorBidi"/>
                <w:sz w:val="24"/>
                <w:szCs w:val="24"/>
              </w:rPr>
              <w:t>4,68</w:t>
            </w:r>
          </w:p>
        </w:tc>
      </w:tr>
      <w:tr w:rsidR="00B728A2" w:rsidRPr="0098432E" w:rsidTr="000F11F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pentanol</w:t>
            </w:r>
          </w:p>
        </w:tc>
        <w:tc>
          <w:tcPr>
            <w:tcW w:w="4606" w:type="dxa"/>
            <w:vAlign w:val="center"/>
          </w:tcPr>
          <w:p w:rsidR="00B728A2" w:rsidRPr="0098432E"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5,69</w:t>
            </w:r>
          </w:p>
        </w:tc>
      </w:tr>
      <w:tr w:rsidR="00B728A2" w:rsidRPr="0098432E" w:rsidTr="000F11FC">
        <w:tc>
          <w:tcPr>
            <w:tcW w:w="4606" w:type="dxa"/>
            <w:vAlign w:val="center"/>
          </w:tcPr>
          <w:p w:rsidR="00B728A2"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Heptane</w:t>
            </w:r>
          </w:p>
        </w:tc>
        <w:tc>
          <w:tcPr>
            <w:tcW w:w="4606" w:type="dxa"/>
            <w:vAlign w:val="center"/>
          </w:tcPr>
          <w:p w:rsidR="00B728A2"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2,42</w:t>
            </w:r>
          </w:p>
        </w:tc>
      </w:tr>
      <w:tr w:rsidR="00B728A2" w:rsidRPr="0098432E" w:rsidTr="000F11FC">
        <w:tc>
          <w:tcPr>
            <w:tcW w:w="4606" w:type="dxa"/>
            <w:vAlign w:val="center"/>
          </w:tcPr>
          <w:p w:rsidR="00B728A2"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Cyclohexen-diol</w:t>
            </w:r>
          </w:p>
        </w:tc>
        <w:tc>
          <w:tcPr>
            <w:tcW w:w="4606" w:type="dxa"/>
            <w:vAlign w:val="center"/>
          </w:tcPr>
          <w:p w:rsidR="00B728A2" w:rsidRDefault="00B728A2" w:rsidP="000F11FC">
            <w:pPr>
              <w:spacing w:line="360" w:lineRule="auto"/>
              <w:jc w:val="center"/>
              <w:rPr>
                <w:rFonts w:asciiTheme="majorBidi" w:hAnsiTheme="majorBidi" w:cstheme="majorBidi"/>
                <w:sz w:val="24"/>
                <w:szCs w:val="24"/>
              </w:rPr>
            </w:pPr>
            <w:r>
              <w:rPr>
                <w:rFonts w:asciiTheme="majorBidi" w:hAnsiTheme="majorBidi" w:cstheme="majorBidi"/>
                <w:sz w:val="24"/>
                <w:szCs w:val="24"/>
              </w:rPr>
              <w:t>15,80</w:t>
            </w:r>
          </w:p>
        </w:tc>
      </w:tr>
    </w:tbl>
    <w:p w:rsidR="00B728A2" w:rsidRDefault="00B728A2" w:rsidP="00FD483B">
      <w:pPr>
        <w:spacing w:after="0" w:line="360" w:lineRule="auto"/>
        <w:ind w:firstLine="284"/>
        <w:jc w:val="both"/>
        <w:rPr>
          <w:rFonts w:asciiTheme="majorBidi" w:hAnsiTheme="majorBidi" w:cstheme="majorBidi"/>
          <w:sz w:val="24"/>
          <w:szCs w:val="24"/>
        </w:rPr>
      </w:pPr>
    </w:p>
    <w:p w:rsidR="0098432E" w:rsidRPr="001D3922" w:rsidRDefault="00AB3559" w:rsidP="00FD483B">
      <w:pPr>
        <w:spacing w:after="0" w:line="360" w:lineRule="auto"/>
        <w:ind w:firstLine="284"/>
        <w:jc w:val="both"/>
        <w:rPr>
          <w:rFonts w:asciiTheme="majorBidi" w:hAnsiTheme="majorBidi" w:cstheme="majorBidi"/>
          <w:b/>
          <w:bCs/>
          <w:color w:val="FF0000"/>
          <w:sz w:val="24"/>
          <w:szCs w:val="24"/>
        </w:rPr>
      </w:pPr>
      <w:r>
        <w:rPr>
          <w:rFonts w:asciiTheme="majorBidi" w:hAnsiTheme="majorBidi" w:cstheme="majorBidi"/>
          <w:sz w:val="24"/>
          <w:szCs w:val="24"/>
        </w:rPr>
        <w:t>A partir de ces données, une analyse qualitative des chromatogrammes obtenus permet d’</w:t>
      </w:r>
      <w:r w:rsidR="001D3922">
        <w:rPr>
          <w:rFonts w:asciiTheme="majorBidi" w:hAnsiTheme="majorBidi" w:cstheme="majorBidi"/>
          <w:sz w:val="24"/>
          <w:szCs w:val="24"/>
        </w:rPr>
        <w:t>identifier</w:t>
      </w:r>
      <w:r>
        <w:rPr>
          <w:rFonts w:asciiTheme="majorBidi" w:hAnsiTheme="majorBidi" w:cstheme="majorBidi"/>
          <w:sz w:val="24"/>
          <w:szCs w:val="24"/>
        </w:rPr>
        <w:t xml:space="preserve"> les produits formés et de suivre leur évolution au cours de la réaction.</w:t>
      </w:r>
      <w:r w:rsidR="001D3922">
        <w:rPr>
          <w:rFonts w:asciiTheme="majorBidi" w:hAnsiTheme="majorBidi" w:cstheme="majorBidi"/>
          <w:b/>
          <w:bCs/>
          <w:sz w:val="24"/>
          <w:szCs w:val="24"/>
        </w:rPr>
        <w:t xml:space="preserve"> </w:t>
      </w:r>
      <w:r w:rsidR="001D3922" w:rsidRPr="000A4C71">
        <w:rPr>
          <w:rFonts w:asciiTheme="majorBidi" w:hAnsiTheme="majorBidi" w:cstheme="majorBidi"/>
          <w:b/>
          <w:bCs/>
          <w:sz w:val="24"/>
          <w:szCs w:val="24"/>
        </w:rPr>
        <w:t>(Figure</w:t>
      </w:r>
      <w:r w:rsidR="001D3922">
        <w:rPr>
          <w:rFonts w:asciiTheme="majorBidi" w:hAnsiTheme="majorBidi" w:cstheme="majorBidi"/>
          <w:b/>
          <w:bCs/>
          <w:sz w:val="24"/>
          <w:szCs w:val="24"/>
        </w:rPr>
        <w:t xml:space="preserve"> </w:t>
      </w:r>
      <w:r w:rsidR="001D3922" w:rsidRPr="000A4C71">
        <w:rPr>
          <w:rFonts w:asciiTheme="majorBidi" w:hAnsiTheme="majorBidi" w:cstheme="majorBidi"/>
          <w:b/>
          <w:bCs/>
          <w:sz w:val="24"/>
          <w:szCs w:val="24"/>
        </w:rPr>
        <w:t>II.</w:t>
      </w:r>
      <w:r w:rsidR="001D3922">
        <w:rPr>
          <w:rFonts w:asciiTheme="majorBidi" w:hAnsiTheme="majorBidi" w:cstheme="majorBidi"/>
          <w:b/>
          <w:bCs/>
          <w:sz w:val="24"/>
          <w:szCs w:val="24"/>
        </w:rPr>
        <w:t>5</w:t>
      </w:r>
      <w:r w:rsidR="001D3922" w:rsidRPr="000A4C71">
        <w:rPr>
          <w:rFonts w:asciiTheme="majorBidi" w:hAnsiTheme="majorBidi" w:cstheme="majorBidi"/>
          <w:b/>
          <w:bCs/>
          <w:sz w:val="24"/>
          <w:szCs w:val="24"/>
        </w:rPr>
        <w:t>)</w:t>
      </w:r>
      <w:r w:rsidR="001D3922">
        <w:rPr>
          <w:rFonts w:asciiTheme="majorBidi" w:hAnsiTheme="majorBidi" w:cstheme="majorBidi"/>
          <w:b/>
          <w:bCs/>
          <w:sz w:val="24"/>
          <w:szCs w:val="24"/>
        </w:rPr>
        <w:t>.</w:t>
      </w:r>
    </w:p>
    <w:p w:rsidR="00AB3559" w:rsidRDefault="00B728A2" w:rsidP="00FD483B">
      <w:pPr>
        <w:spacing w:after="0" w:line="360" w:lineRule="auto"/>
        <w:ind w:firstLine="284"/>
        <w:jc w:val="both"/>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83840" behindDoc="0" locked="0" layoutInCell="1" allowOverlap="1">
            <wp:simplePos x="0" y="0"/>
            <wp:positionH relativeFrom="column">
              <wp:posOffset>680720</wp:posOffset>
            </wp:positionH>
            <wp:positionV relativeFrom="paragraph">
              <wp:posOffset>200025</wp:posOffset>
            </wp:positionV>
            <wp:extent cx="4520565" cy="1806575"/>
            <wp:effectExtent l="171450" t="133350" r="356235" b="307975"/>
            <wp:wrapSquare wrapText="bothSides"/>
            <wp:docPr id="7" name="Image 2" descr="C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G"/>
                    <pic:cNvPicPr>
                      <a:picLocks noChangeAspect="1" noChangeArrowheads="1"/>
                    </pic:cNvPicPr>
                  </pic:nvPicPr>
                  <pic:blipFill>
                    <a:blip r:embed="rId17" cstate="print"/>
                    <a:srcRect l="76" t="7010" r="31229" b="35535"/>
                    <a:stretch>
                      <a:fillRect/>
                    </a:stretch>
                  </pic:blipFill>
                  <pic:spPr bwMode="auto">
                    <a:xfrm>
                      <a:off x="0" y="0"/>
                      <a:ext cx="4520565" cy="1806575"/>
                    </a:xfrm>
                    <a:prstGeom prst="rect">
                      <a:avLst/>
                    </a:prstGeom>
                    <a:ln>
                      <a:noFill/>
                    </a:ln>
                    <a:effectLst>
                      <a:outerShdw blurRad="292100" dist="139700" dir="2700000" algn="tl" rotWithShape="0">
                        <a:srgbClr val="333333">
                          <a:alpha val="65000"/>
                        </a:srgbClr>
                      </a:outerShdw>
                    </a:effectLst>
                  </pic:spPr>
                </pic:pic>
              </a:graphicData>
            </a:graphic>
          </wp:anchor>
        </w:drawing>
      </w:r>
      <w:r w:rsidR="00350500">
        <w:rPr>
          <w:rFonts w:asciiTheme="majorBidi" w:hAnsiTheme="majorBidi" w:cstheme="majorBidi"/>
          <w:b/>
          <w:bCs/>
          <w:noProof/>
          <w:sz w:val="24"/>
          <w:szCs w:val="24"/>
        </w:rPr>
        <w:t xml:space="preserve"> </w:t>
      </w:r>
    </w:p>
    <w:p w:rsidR="00350500" w:rsidRDefault="00350500" w:rsidP="00FD483B">
      <w:pPr>
        <w:spacing w:after="0" w:line="360" w:lineRule="auto"/>
        <w:jc w:val="both"/>
        <w:rPr>
          <w:rFonts w:asciiTheme="majorBidi" w:hAnsiTheme="majorBidi" w:cstheme="majorBidi"/>
          <w:b/>
          <w:bCs/>
          <w:i/>
          <w:iCs/>
          <w:sz w:val="24"/>
          <w:szCs w:val="24"/>
        </w:rPr>
      </w:pPr>
    </w:p>
    <w:p w:rsidR="00350500" w:rsidRDefault="00350500" w:rsidP="00FD483B">
      <w:pPr>
        <w:spacing w:after="0" w:line="360" w:lineRule="auto"/>
        <w:jc w:val="both"/>
        <w:rPr>
          <w:rFonts w:asciiTheme="majorBidi" w:hAnsiTheme="majorBidi" w:cstheme="majorBidi"/>
          <w:b/>
          <w:bCs/>
          <w:i/>
          <w:iCs/>
          <w:sz w:val="24"/>
          <w:szCs w:val="24"/>
        </w:rPr>
      </w:pPr>
    </w:p>
    <w:p w:rsidR="00350500" w:rsidRDefault="00350500" w:rsidP="00FD483B">
      <w:pPr>
        <w:spacing w:after="0" w:line="360" w:lineRule="auto"/>
        <w:jc w:val="both"/>
        <w:rPr>
          <w:rFonts w:asciiTheme="majorBidi" w:hAnsiTheme="majorBidi" w:cstheme="majorBidi"/>
          <w:b/>
          <w:bCs/>
          <w:i/>
          <w:iCs/>
          <w:sz w:val="24"/>
          <w:szCs w:val="24"/>
        </w:rPr>
      </w:pPr>
    </w:p>
    <w:p w:rsidR="00350500" w:rsidRDefault="00350500" w:rsidP="00FD483B">
      <w:pPr>
        <w:spacing w:after="0" w:line="360" w:lineRule="auto"/>
        <w:jc w:val="both"/>
        <w:rPr>
          <w:rFonts w:asciiTheme="majorBidi" w:hAnsiTheme="majorBidi" w:cstheme="majorBidi"/>
          <w:b/>
          <w:bCs/>
          <w:i/>
          <w:iCs/>
          <w:sz w:val="24"/>
          <w:szCs w:val="24"/>
        </w:rPr>
      </w:pPr>
    </w:p>
    <w:p w:rsidR="00350500" w:rsidRDefault="00350500" w:rsidP="00FD483B">
      <w:pPr>
        <w:spacing w:after="0" w:line="360" w:lineRule="auto"/>
        <w:jc w:val="both"/>
        <w:rPr>
          <w:rFonts w:asciiTheme="majorBidi" w:hAnsiTheme="majorBidi" w:cstheme="majorBidi"/>
          <w:b/>
          <w:bCs/>
          <w:i/>
          <w:iCs/>
          <w:sz w:val="24"/>
          <w:szCs w:val="24"/>
        </w:rPr>
      </w:pPr>
      <w:r>
        <w:rPr>
          <w:rFonts w:asciiTheme="majorBidi" w:hAnsiTheme="majorBidi" w:cstheme="majorBidi"/>
          <w:b/>
          <w:bCs/>
          <w:i/>
          <w:iCs/>
          <w:sz w:val="24"/>
          <w:szCs w:val="24"/>
        </w:rPr>
        <w:t xml:space="preserve"> </w:t>
      </w:r>
    </w:p>
    <w:p w:rsidR="00FD483B" w:rsidRDefault="00FD483B" w:rsidP="00FD483B">
      <w:pPr>
        <w:spacing w:after="0" w:line="360" w:lineRule="auto"/>
        <w:jc w:val="both"/>
        <w:rPr>
          <w:rFonts w:asciiTheme="majorBidi" w:hAnsiTheme="majorBidi" w:cstheme="majorBidi"/>
          <w:b/>
          <w:bCs/>
          <w:i/>
          <w:iCs/>
          <w:sz w:val="24"/>
          <w:szCs w:val="24"/>
        </w:rPr>
      </w:pPr>
    </w:p>
    <w:p w:rsidR="00FD483B" w:rsidRDefault="00FD483B" w:rsidP="00FD483B">
      <w:pPr>
        <w:spacing w:after="0" w:line="360" w:lineRule="auto"/>
        <w:jc w:val="both"/>
        <w:rPr>
          <w:rFonts w:asciiTheme="majorBidi" w:hAnsiTheme="majorBidi" w:cstheme="majorBidi"/>
          <w:b/>
          <w:bCs/>
          <w:i/>
          <w:iCs/>
          <w:sz w:val="24"/>
          <w:szCs w:val="24"/>
        </w:rPr>
      </w:pPr>
    </w:p>
    <w:p w:rsidR="00B728A2" w:rsidRDefault="00B728A2" w:rsidP="00FD483B">
      <w:pPr>
        <w:spacing w:after="0" w:line="360" w:lineRule="auto"/>
        <w:jc w:val="both"/>
        <w:rPr>
          <w:rFonts w:asciiTheme="majorBidi" w:hAnsiTheme="majorBidi" w:cstheme="majorBidi"/>
          <w:b/>
          <w:bCs/>
          <w:i/>
          <w:iCs/>
          <w:sz w:val="24"/>
          <w:szCs w:val="24"/>
        </w:rPr>
      </w:pPr>
    </w:p>
    <w:p w:rsidR="001D3922" w:rsidRPr="00C64066" w:rsidRDefault="001D3922" w:rsidP="00FD483B">
      <w:pPr>
        <w:spacing w:after="0" w:line="360" w:lineRule="auto"/>
        <w:jc w:val="center"/>
        <w:rPr>
          <w:rFonts w:asciiTheme="majorBidi" w:hAnsiTheme="majorBidi" w:cstheme="majorBidi"/>
          <w:sz w:val="24"/>
          <w:szCs w:val="24"/>
        </w:rPr>
      </w:pPr>
      <w:r w:rsidRPr="00C64066">
        <w:rPr>
          <w:rFonts w:asciiTheme="majorBidi" w:hAnsiTheme="majorBidi" w:cstheme="majorBidi"/>
          <w:b/>
          <w:bCs/>
          <w:sz w:val="24"/>
          <w:szCs w:val="24"/>
        </w:rPr>
        <w:t xml:space="preserve">Figure II.5 : </w:t>
      </w:r>
      <w:r w:rsidRPr="00C64066">
        <w:rPr>
          <w:rFonts w:asciiTheme="majorBidi" w:hAnsiTheme="majorBidi" w:cstheme="majorBidi"/>
          <w:sz w:val="24"/>
          <w:szCs w:val="24"/>
        </w:rPr>
        <w:t>Exemple de chromatogramme obtenu</w:t>
      </w:r>
    </w:p>
    <w:p w:rsidR="00A35FF4" w:rsidRDefault="00AB3559" w:rsidP="00FD483B">
      <w:pPr>
        <w:spacing w:after="0" w:line="360" w:lineRule="auto"/>
        <w:ind w:firstLine="284"/>
        <w:jc w:val="both"/>
        <w:rPr>
          <w:rFonts w:asciiTheme="majorBidi" w:hAnsiTheme="majorBidi" w:cstheme="majorBidi"/>
          <w:sz w:val="24"/>
          <w:szCs w:val="24"/>
        </w:rPr>
      </w:pPr>
      <w:r>
        <w:rPr>
          <w:rFonts w:asciiTheme="majorBidi" w:hAnsiTheme="majorBidi" w:cstheme="majorBidi"/>
          <w:sz w:val="24"/>
          <w:szCs w:val="24"/>
        </w:rPr>
        <w:t>L’air de chaque pic peut également permettre une analyse quantitative grâce à l’air de pics de référence (courbes d’étalonnage). Ainsi l’activité (conversion du cyclohéxène) et la sélectivité des différents catalyseurs testés p</w:t>
      </w:r>
      <w:r w:rsidR="000F11FC">
        <w:rPr>
          <w:rFonts w:asciiTheme="majorBidi" w:hAnsiTheme="majorBidi" w:cstheme="majorBidi"/>
          <w:sz w:val="24"/>
          <w:szCs w:val="24"/>
        </w:rPr>
        <w:t>euvent être évaluées comme suit</w:t>
      </w:r>
      <w:r w:rsidR="00A35FF4">
        <w:rPr>
          <w:rFonts w:asciiTheme="majorBidi" w:hAnsiTheme="majorBidi" w:cstheme="majorBidi"/>
          <w:sz w:val="24"/>
          <w:szCs w:val="24"/>
        </w:rPr>
        <w:t> :</w:t>
      </w:r>
    </w:p>
    <w:p w:rsidR="00801EF0" w:rsidRDefault="00801EF0" w:rsidP="00FD483B">
      <w:pPr>
        <w:spacing w:after="0" w:line="360" w:lineRule="auto"/>
        <w:ind w:firstLine="284"/>
        <w:jc w:val="both"/>
        <w:rPr>
          <w:rFonts w:asciiTheme="majorBidi" w:hAnsiTheme="majorBidi" w:cstheme="majorBidi"/>
          <w:sz w:val="24"/>
          <w:szCs w:val="24"/>
        </w:rPr>
      </w:pPr>
    </w:p>
    <w:p w:rsidR="00AB3559" w:rsidRDefault="00AB3559" w:rsidP="00FD483B">
      <w:pPr>
        <w:spacing w:after="0" w:line="360" w:lineRule="auto"/>
        <w:jc w:val="center"/>
        <w:rPr>
          <w:rFonts w:asciiTheme="majorBidi" w:hAnsiTheme="majorBidi" w:cstheme="majorBidi"/>
          <w:b/>
          <w:bCs/>
          <w:i/>
          <w:iCs/>
          <w:sz w:val="24"/>
          <w:szCs w:val="24"/>
        </w:rPr>
      </w:pPr>
      <w:r w:rsidRPr="009C2D32">
        <w:rPr>
          <w:rFonts w:asciiTheme="majorBidi" w:hAnsiTheme="majorBidi" w:cstheme="majorBidi"/>
          <w:b/>
          <w:bCs/>
          <w:i/>
          <w:iCs/>
          <w:sz w:val="24"/>
          <w:szCs w:val="24"/>
        </w:rPr>
        <w:t xml:space="preserve">Conversion= </w:t>
      </w:r>
      <w:r w:rsidR="00C95987" w:rsidRPr="009C2D32">
        <w:rPr>
          <w:rFonts w:asciiTheme="majorBidi" w:hAnsiTheme="majorBidi" w:cstheme="majorBidi"/>
          <w:b/>
          <w:bCs/>
          <w:i/>
          <w:iCs/>
          <w:sz w:val="24"/>
          <w:szCs w:val="24"/>
        </w:rPr>
        <w:t>[</w:t>
      </w:r>
      <w:r w:rsidRPr="009C2D32">
        <w:rPr>
          <w:rFonts w:asciiTheme="majorBidi" w:hAnsiTheme="majorBidi" w:cstheme="majorBidi"/>
          <w:b/>
          <w:bCs/>
          <w:i/>
          <w:iCs/>
          <w:sz w:val="24"/>
          <w:szCs w:val="24"/>
        </w:rPr>
        <w:t>N</w:t>
      </w:r>
      <w:r w:rsidRPr="009C2D32">
        <w:rPr>
          <w:rFonts w:asciiTheme="majorBidi" w:hAnsiTheme="majorBidi" w:cstheme="majorBidi"/>
          <w:b/>
          <w:bCs/>
          <w:i/>
          <w:iCs/>
          <w:sz w:val="24"/>
          <w:szCs w:val="24"/>
          <w:vertAlign w:val="subscript"/>
        </w:rPr>
        <w:t xml:space="preserve">Cyclohéxène </w:t>
      </w:r>
      <w:r w:rsidRPr="009C2D32">
        <w:rPr>
          <w:rFonts w:asciiTheme="majorBidi" w:hAnsiTheme="majorBidi" w:cstheme="majorBidi"/>
          <w:b/>
          <w:bCs/>
          <w:i/>
          <w:iCs/>
          <w:sz w:val="24"/>
          <w:szCs w:val="24"/>
        </w:rPr>
        <w:t>– N</w:t>
      </w:r>
      <w:r w:rsidRPr="009C2D32">
        <w:rPr>
          <w:rFonts w:asciiTheme="majorBidi" w:hAnsiTheme="majorBidi" w:cstheme="majorBidi"/>
          <w:b/>
          <w:bCs/>
          <w:i/>
          <w:iCs/>
          <w:sz w:val="24"/>
          <w:szCs w:val="24"/>
          <w:vertAlign w:val="subscript"/>
        </w:rPr>
        <w:t xml:space="preserve"> Cyclohéxène</w:t>
      </w:r>
      <w:r w:rsidRPr="009C2D32">
        <w:rPr>
          <w:rFonts w:asciiTheme="majorBidi" w:hAnsiTheme="majorBidi" w:cstheme="majorBidi"/>
          <w:b/>
          <w:bCs/>
          <w:i/>
          <w:iCs/>
          <w:sz w:val="24"/>
          <w:szCs w:val="24"/>
        </w:rPr>
        <w:t>(t)/  N</w:t>
      </w:r>
      <w:r w:rsidRPr="009C2D32">
        <w:rPr>
          <w:rFonts w:asciiTheme="majorBidi" w:hAnsiTheme="majorBidi" w:cstheme="majorBidi"/>
          <w:b/>
          <w:bCs/>
          <w:i/>
          <w:iCs/>
          <w:sz w:val="24"/>
          <w:szCs w:val="24"/>
          <w:vertAlign w:val="subscript"/>
        </w:rPr>
        <w:t>Cyclohéxène</w:t>
      </w:r>
      <w:r w:rsidR="00C95987" w:rsidRPr="009C2D32">
        <w:rPr>
          <w:rFonts w:asciiTheme="majorBidi" w:hAnsiTheme="majorBidi" w:cstheme="majorBidi"/>
          <w:b/>
          <w:bCs/>
          <w:i/>
          <w:iCs/>
          <w:sz w:val="24"/>
          <w:szCs w:val="24"/>
        </w:rPr>
        <w:t xml:space="preserve">] </w:t>
      </w:r>
      <w:r w:rsidRPr="009C2D32">
        <w:rPr>
          <w:rFonts w:asciiTheme="majorBidi" w:hAnsiTheme="majorBidi" w:cstheme="majorBidi"/>
          <w:b/>
          <w:bCs/>
          <w:i/>
          <w:iCs/>
          <w:sz w:val="24"/>
          <w:szCs w:val="24"/>
        </w:rPr>
        <w:t>*</w:t>
      </w:r>
      <w:r w:rsidR="00C95987" w:rsidRPr="009C2D32">
        <w:rPr>
          <w:rFonts w:asciiTheme="majorBidi" w:hAnsiTheme="majorBidi" w:cstheme="majorBidi"/>
          <w:b/>
          <w:bCs/>
          <w:i/>
          <w:iCs/>
          <w:sz w:val="24"/>
          <w:szCs w:val="24"/>
        </w:rPr>
        <w:t xml:space="preserve"> 100</w:t>
      </w:r>
    </w:p>
    <w:p w:rsidR="00FD483B" w:rsidRPr="009C2D32" w:rsidRDefault="00FD483B" w:rsidP="00FD483B">
      <w:pPr>
        <w:spacing w:after="0" w:line="360" w:lineRule="auto"/>
        <w:jc w:val="center"/>
        <w:rPr>
          <w:rFonts w:asciiTheme="majorBidi" w:hAnsiTheme="majorBidi" w:cstheme="majorBidi"/>
          <w:b/>
          <w:bCs/>
          <w:i/>
          <w:iCs/>
          <w:sz w:val="24"/>
          <w:szCs w:val="24"/>
        </w:rPr>
      </w:pPr>
    </w:p>
    <w:p w:rsidR="00AB3559" w:rsidRPr="009C2D32" w:rsidRDefault="00AB3559" w:rsidP="00FD483B">
      <w:pPr>
        <w:spacing w:after="0" w:line="360" w:lineRule="auto"/>
        <w:jc w:val="center"/>
        <w:rPr>
          <w:rFonts w:asciiTheme="majorBidi" w:hAnsiTheme="majorBidi" w:cstheme="majorBidi"/>
          <w:b/>
          <w:bCs/>
          <w:i/>
          <w:iCs/>
          <w:sz w:val="24"/>
          <w:szCs w:val="24"/>
        </w:rPr>
      </w:pPr>
      <w:r w:rsidRPr="009C2D32">
        <w:rPr>
          <w:rFonts w:asciiTheme="majorBidi" w:hAnsiTheme="majorBidi" w:cstheme="majorBidi"/>
          <w:b/>
          <w:bCs/>
          <w:i/>
          <w:iCs/>
          <w:sz w:val="24"/>
          <w:szCs w:val="24"/>
        </w:rPr>
        <w:t xml:space="preserve">Sélectivité= </w:t>
      </w:r>
      <w:r w:rsidR="00C95987" w:rsidRPr="009C2D32">
        <w:rPr>
          <w:rFonts w:asciiTheme="majorBidi" w:hAnsiTheme="majorBidi" w:cstheme="majorBidi"/>
          <w:b/>
          <w:bCs/>
          <w:i/>
          <w:iCs/>
          <w:sz w:val="24"/>
          <w:szCs w:val="24"/>
        </w:rPr>
        <w:t>[</w:t>
      </w:r>
      <w:r w:rsidRPr="009C2D32">
        <w:rPr>
          <w:rFonts w:asciiTheme="majorBidi" w:hAnsiTheme="majorBidi" w:cstheme="majorBidi"/>
          <w:b/>
          <w:bCs/>
          <w:i/>
          <w:iCs/>
          <w:sz w:val="24"/>
          <w:szCs w:val="24"/>
        </w:rPr>
        <w:t xml:space="preserve">Ni </w:t>
      </w:r>
      <w:r w:rsidRPr="009C2D32">
        <w:rPr>
          <w:rFonts w:asciiTheme="majorBidi" w:hAnsiTheme="majorBidi" w:cstheme="majorBidi"/>
          <w:b/>
          <w:bCs/>
          <w:i/>
          <w:iCs/>
          <w:sz w:val="24"/>
          <w:szCs w:val="24"/>
          <w:vertAlign w:val="subscript"/>
        </w:rPr>
        <w:t>(t)</w:t>
      </w:r>
      <w:r w:rsidRPr="009C2D32">
        <w:rPr>
          <w:rFonts w:asciiTheme="majorBidi" w:hAnsiTheme="majorBidi" w:cstheme="majorBidi"/>
          <w:b/>
          <w:bCs/>
          <w:i/>
          <w:iCs/>
          <w:sz w:val="24"/>
          <w:szCs w:val="24"/>
        </w:rPr>
        <w:t xml:space="preserve">/  </w:t>
      </w:r>
      <w:r w:rsidR="008050AC" w:rsidRPr="009C2D32">
        <w:rPr>
          <w:rFonts w:asciiTheme="majorBidi" w:hAnsiTheme="majorBidi" w:cstheme="majorBidi"/>
          <w:b/>
          <w:bCs/>
          <w:i/>
          <w:iCs/>
          <w:sz w:val="24"/>
          <w:szCs w:val="24"/>
        </w:rPr>
        <w:t xml:space="preserve">∑ </w:t>
      </w:r>
      <w:r w:rsidRPr="009C2D32">
        <w:rPr>
          <w:rFonts w:asciiTheme="majorBidi" w:hAnsiTheme="majorBidi" w:cstheme="majorBidi"/>
          <w:b/>
          <w:bCs/>
          <w:i/>
          <w:iCs/>
          <w:sz w:val="24"/>
          <w:szCs w:val="24"/>
        </w:rPr>
        <w:t xml:space="preserve">Ni </w:t>
      </w:r>
      <w:r w:rsidRPr="009C2D32">
        <w:rPr>
          <w:rFonts w:asciiTheme="majorBidi" w:hAnsiTheme="majorBidi" w:cstheme="majorBidi"/>
          <w:b/>
          <w:bCs/>
          <w:i/>
          <w:iCs/>
          <w:sz w:val="24"/>
          <w:szCs w:val="24"/>
          <w:vertAlign w:val="subscript"/>
        </w:rPr>
        <w:t>(t)</w:t>
      </w:r>
      <w:r w:rsidR="00C95987" w:rsidRPr="009C2D32">
        <w:rPr>
          <w:rFonts w:asciiTheme="majorBidi" w:hAnsiTheme="majorBidi" w:cstheme="majorBidi"/>
          <w:b/>
          <w:bCs/>
          <w:i/>
          <w:iCs/>
          <w:sz w:val="24"/>
          <w:szCs w:val="24"/>
        </w:rPr>
        <w:t xml:space="preserve">] </w:t>
      </w:r>
      <w:r w:rsidRPr="009C2D32">
        <w:rPr>
          <w:rFonts w:asciiTheme="majorBidi" w:hAnsiTheme="majorBidi" w:cstheme="majorBidi"/>
          <w:b/>
          <w:bCs/>
          <w:i/>
          <w:iCs/>
          <w:sz w:val="24"/>
          <w:szCs w:val="24"/>
        </w:rPr>
        <w:t>*</w:t>
      </w:r>
      <w:r w:rsidR="00C95987" w:rsidRPr="009C2D32">
        <w:rPr>
          <w:rFonts w:asciiTheme="majorBidi" w:hAnsiTheme="majorBidi" w:cstheme="majorBidi"/>
          <w:b/>
          <w:bCs/>
          <w:i/>
          <w:iCs/>
          <w:sz w:val="24"/>
          <w:szCs w:val="24"/>
        </w:rPr>
        <w:t xml:space="preserve"> </w:t>
      </w:r>
      <w:r w:rsidRPr="009C2D32">
        <w:rPr>
          <w:rFonts w:asciiTheme="majorBidi" w:hAnsiTheme="majorBidi" w:cstheme="majorBidi"/>
          <w:b/>
          <w:bCs/>
          <w:i/>
          <w:iCs/>
          <w:sz w:val="24"/>
          <w:szCs w:val="24"/>
        </w:rPr>
        <w:t>100</w:t>
      </w:r>
    </w:p>
    <w:p w:rsidR="00C95987" w:rsidRDefault="00AB3559" w:rsidP="00FD483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Où </w:t>
      </w:r>
      <w:r w:rsidR="00F033BA">
        <w:rPr>
          <w:rFonts w:asciiTheme="majorBidi" w:hAnsiTheme="majorBidi" w:cstheme="majorBidi"/>
          <w:sz w:val="24"/>
          <w:szCs w:val="24"/>
        </w:rPr>
        <w:t xml:space="preserve"> </w:t>
      </w:r>
      <w:r>
        <w:rPr>
          <w:rFonts w:asciiTheme="majorBidi" w:hAnsiTheme="majorBidi" w:cstheme="majorBidi"/>
          <w:sz w:val="24"/>
          <w:szCs w:val="24"/>
        </w:rPr>
        <w:t>N</w:t>
      </w:r>
      <w:r w:rsidRPr="00AB3559">
        <w:rPr>
          <w:rFonts w:asciiTheme="majorBidi" w:hAnsiTheme="majorBidi" w:cstheme="majorBidi"/>
          <w:sz w:val="24"/>
          <w:szCs w:val="24"/>
          <w:vertAlign w:val="subscript"/>
        </w:rPr>
        <w:t>Cyclohéxène</w:t>
      </w:r>
      <w:r>
        <w:rPr>
          <w:rFonts w:asciiTheme="majorBidi" w:hAnsiTheme="majorBidi" w:cstheme="majorBidi"/>
          <w:sz w:val="24"/>
          <w:szCs w:val="24"/>
        </w:rPr>
        <w:t xml:space="preserve"> (</w:t>
      </w:r>
      <w:r w:rsidRPr="00C95987">
        <w:rPr>
          <w:rFonts w:asciiTheme="majorBidi" w:hAnsiTheme="majorBidi" w:cstheme="majorBidi"/>
          <w:sz w:val="24"/>
          <w:szCs w:val="24"/>
          <w:vertAlign w:val="subscript"/>
        </w:rPr>
        <w:t>t</w:t>
      </w:r>
      <w:r w:rsidR="00C95987" w:rsidRPr="00C95987">
        <w:rPr>
          <w:rFonts w:asciiTheme="majorBidi" w:hAnsiTheme="majorBidi" w:cstheme="majorBidi"/>
          <w:sz w:val="24"/>
          <w:szCs w:val="24"/>
          <w:vertAlign w:val="subscript"/>
        </w:rPr>
        <w:t>=0</w:t>
      </w:r>
      <w:r>
        <w:rPr>
          <w:rFonts w:asciiTheme="majorBidi" w:hAnsiTheme="majorBidi" w:cstheme="majorBidi"/>
          <w:sz w:val="24"/>
          <w:szCs w:val="24"/>
        </w:rPr>
        <w:t>)</w:t>
      </w:r>
      <w:r w:rsidR="00C95987">
        <w:rPr>
          <w:rFonts w:asciiTheme="majorBidi" w:hAnsiTheme="majorBidi" w:cstheme="majorBidi"/>
          <w:sz w:val="24"/>
          <w:szCs w:val="24"/>
        </w:rPr>
        <w:t xml:space="preserve"> </w:t>
      </w:r>
      <w:r>
        <w:rPr>
          <w:rFonts w:asciiTheme="majorBidi" w:hAnsiTheme="majorBidi" w:cstheme="majorBidi"/>
          <w:sz w:val="24"/>
          <w:szCs w:val="24"/>
        </w:rPr>
        <w:t>est la quantité de cyclohéxène injecté,</w:t>
      </w:r>
    </w:p>
    <w:p w:rsidR="00A34BA3" w:rsidRDefault="00C95987" w:rsidP="00FD483B">
      <w:pPr>
        <w:spacing w:after="0" w:line="360" w:lineRule="auto"/>
        <w:jc w:val="both"/>
        <w:rPr>
          <w:rFonts w:asciiTheme="majorBidi" w:hAnsiTheme="majorBidi" w:cstheme="majorBidi"/>
          <w:sz w:val="24"/>
          <w:szCs w:val="24"/>
        </w:rPr>
      </w:pPr>
      <w:r w:rsidRPr="00C95987">
        <w:rPr>
          <w:rFonts w:asciiTheme="majorBidi" w:hAnsiTheme="majorBidi" w:cstheme="majorBidi"/>
          <w:sz w:val="24"/>
          <w:szCs w:val="24"/>
        </w:rPr>
        <w:t>N</w:t>
      </w:r>
      <w:r w:rsidRPr="00AB3559">
        <w:rPr>
          <w:rFonts w:asciiTheme="majorBidi" w:hAnsiTheme="majorBidi" w:cstheme="majorBidi"/>
          <w:sz w:val="24"/>
          <w:szCs w:val="24"/>
          <w:vertAlign w:val="subscript"/>
        </w:rPr>
        <w:t>Cyclohéxène</w:t>
      </w:r>
      <w:r>
        <w:rPr>
          <w:rFonts w:asciiTheme="majorBidi" w:hAnsiTheme="majorBidi" w:cstheme="majorBidi"/>
          <w:sz w:val="24"/>
          <w:szCs w:val="24"/>
        </w:rPr>
        <w:t xml:space="preserve">(t) est </w:t>
      </w:r>
      <w:r w:rsidR="00A34BA3">
        <w:rPr>
          <w:rFonts w:asciiTheme="majorBidi" w:hAnsiTheme="majorBidi" w:cstheme="majorBidi"/>
          <w:sz w:val="24"/>
          <w:szCs w:val="24"/>
        </w:rPr>
        <w:t>la quantité de cyclohéxène au temps t (c'est-à-dire celle qui n’as pas réagi),</w:t>
      </w:r>
    </w:p>
    <w:p w:rsidR="00AB3559" w:rsidRPr="00C95987" w:rsidRDefault="00A34BA3" w:rsidP="00FD483B">
      <w:pPr>
        <w:spacing w:after="0" w:line="360" w:lineRule="auto"/>
        <w:jc w:val="both"/>
        <w:rPr>
          <w:rFonts w:asciiTheme="majorBidi" w:hAnsiTheme="majorBidi" w:cstheme="majorBidi"/>
          <w:sz w:val="24"/>
          <w:szCs w:val="24"/>
        </w:rPr>
      </w:pPr>
      <w:r>
        <w:rPr>
          <w:rFonts w:asciiTheme="majorBidi" w:hAnsiTheme="majorBidi" w:cstheme="majorBidi"/>
          <w:sz w:val="24"/>
          <w:szCs w:val="24"/>
        </w:rPr>
        <w:t>N</w:t>
      </w:r>
      <w:r w:rsidRPr="00A34BA3">
        <w:rPr>
          <w:rFonts w:asciiTheme="majorBidi" w:hAnsiTheme="majorBidi" w:cstheme="majorBidi"/>
          <w:sz w:val="24"/>
          <w:szCs w:val="24"/>
          <w:vertAlign w:val="subscript"/>
        </w:rPr>
        <w:t>i</w:t>
      </w:r>
      <w:r>
        <w:rPr>
          <w:rFonts w:asciiTheme="majorBidi" w:hAnsiTheme="majorBidi" w:cstheme="majorBidi"/>
          <w:sz w:val="24"/>
          <w:szCs w:val="24"/>
        </w:rPr>
        <w:t xml:space="preserve"> est la quantité de l’espèce i au temps t.</w:t>
      </w:r>
    </w:p>
    <w:sectPr w:rsidR="00AB3559" w:rsidRPr="00C95987" w:rsidSect="00FD483B">
      <w:headerReference w:type="default" r:id="rId18"/>
      <w:footerReference w:type="default" r:id="rId19"/>
      <w:footerReference w:type="first" r:id="rId20"/>
      <w:pgSz w:w="11906" w:h="16838"/>
      <w:pgMar w:top="1134" w:right="1134" w:bottom="1134" w:left="1134" w:header="709" w:footer="709" w:gutter="0"/>
      <w:pgNumType w:start="1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ED7" w:rsidRDefault="00202ED7" w:rsidP="0047278F">
      <w:pPr>
        <w:spacing w:after="0" w:line="240" w:lineRule="auto"/>
      </w:pPr>
      <w:r>
        <w:separator/>
      </w:r>
    </w:p>
  </w:endnote>
  <w:endnote w:type="continuationSeparator" w:id="1">
    <w:p w:rsidR="00202ED7" w:rsidRDefault="00202ED7" w:rsidP="004727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3440"/>
      <w:docPartObj>
        <w:docPartGallery w:val="Page Numbers (Bottom of Page)"/>
        <w:docPartUnique/>
      </w:docPartObj>
    </w:sdtPr>
    <w:sdtContent>
      <w:p w:rsidR="00AE69A0" w:rsidRDefault="000F11FC">
        <w:pPr>
          <w:pStyle w:val="Pieddepage"/>
          <w:jc w:val="center"/>
        </w:pPr>
        <w:r>
          <w:pict>
            <v:shapetype id="_x0000_t110" coordsize="21600,21600" o:spt="110" path="m10800,l,10800,10800,21600,21600,10800xe">
              <v:stroke joinstyle="miter"/>
              <v:path gradientshapeok="t" o:connecttype="rect" textboxrect="5400,5400,16200,16200"/>
            </v:shapetype>
            <v:shape id="_x0000_s2050"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AE69A0" w:rsidRDefault="007875F6">
        <w:pPr>
          <w:pStyle w:val="Pieddepage"/>
          <w:jc w:val="center"/>
        </w:pPr>
        <w:fldSimple w:instr=" PAGE    \* MERGEFORMAT ">
          <w:r w:rsidR="000F11FC">
            <w:rPr>
              <w:noProof/>
            </w:rPr>
            <w:t>23</w:t>
          </w:r>
        </w:fldSimple>
      </w:p>
    </w:sdtContent>
  </w:sdt>
  <w:p w:rsidR="00AE69A0" w:rsidRDefault="00AE69A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709531"/>
      <w:docPartObj>
        <w:docPartGallery w:val="Page Numbers (Bottom of Page)"/>
        <w:docPartUnique/>
      </w:docPartObj>
    </w:sdtPr>
    <w:sdtContent>
      <w:p w:rsidR="009C1CFA" w:rsidRDefault="007875F6">
        <w:pPr>
          <w:pStyle w:val="Pieddepage"/>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anchorx="margin" anchory="page"/>
              <w10:anchorlock/>
            </v:shape>
          </w:pict>
        </w:r>
      </w:p>
      <w:p w:rsidR="009C1CFA" w:rsidRDefault="007875F6">
        <w:pPr>
          <w:pStyle w:val="Pieddepage"/>
          <w:jc w:val="center"/>
        </w:pPr>
        <w:fldSimple w:instr=" PAGE    \* MERGEFORMAT ">
          <w:r w:rsidR="009C1CFA">
            <w:rPr>
              <w:noProof/>
            </w:rPr>
            <w:t>13</w:t>
          </w:r>
        </w:fldSimple>
      </w:p>
    </w:sdtContent>
  </w:sdt>
  <w:p w:rsidR="009C1CFA" w:rsidRDefault="009C1CF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ED7" w:rsidRDefault="00202ED7" w:rsidP="0047278F">
      <w:pPr>
        <w:spacing w:after="0" w:line="240" w:lineRule="auto"/>
      </w:pPr>
      <w:r>
        <w:separator/>
      </w:r>
    </w:p>
  </w:footnote>
  <w:footnote w:type="continuationSeparator" w:id="1">
    <w:p w:rsidR="00202ED7" w:rsidRDefault="00202ED7" w:rsidP="004727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eastAsiaTheme="majorEastAsia" w:hAnsiTheme="majorBidi" w:cstheme="majorBidi"/>
        <w:b/>
        <w:bCs/>
        <w:i/>
        <w:iCs/>
        <w:caps/>
        <w:sz w:val="28"/>
        <w:szCs w:val="28"/>
      </w:rPr>
      <w:alias w:val="Titre"/>
      <w:id w:val="110709533"/>
      <w:placeholder>
        <w:docPart w:val="A231DE9BEFEC447C8DB22C0AF7D921C1"/>
      </w:placeholder>
      <w:dataBinding w:prefixMappings="xmlns:ns0='http://schemas.openxmlformats.org/package/2006/metadata/core-properties' xmlns:ns1='http://purl.org/dc/elements/1.1/'" w:xpath="/ns0:coreProperties[1]/ns1:title[1]" w:storeItemID="{6C3C8BC8-F283-45AE-878A-BAB7291924A1}"/>
      <w:text/>
    </w:sdtPr>
    <w:sdtContent>
      <w:p w:rsidR="009C1CFA" w:rsidRPr="00A90324" w:rsidRDefault="009C1CFA" w:rsidP="005918AD">
        <w:pPr>
          <w:pStyle w:val="En-tte"/>
          <w:pBdr>
            <w:bottom w:val="thickThinSmallGap" w:sz="24" w:space="1" w:color="622423" w:themeColor="accent2" w:themeShade="7F"/>
          </w:pBdr>
          <w:rPr>
            <w:rFonts w:asciiTheme="majorHAnsi" w:eastAsiaTheme="majorEastAsia" w:hAnsiTheme="majorHAnsi" w:cstheme="majorBidi"/>
            <w:i/>
            <w:iCs/>
            <w:caps/>
            <w:sz w:val="32"/>
            <w:szCs w:val="32"/>
          </w:rPr>
        </w:pPr>
        <w:r w:rsidRPr="00A90324">
          <w:rPr>
            <w:rFonts w:asciiTheme="majorBidi" w:eastAsiaTheme="majorEastAsia" w:hAnsiTheme="majorBidi" w:cstheme="majorBidi"/>
            <w:b/>
            <w:bCs/>
            <w:i/>
            <w:iCs/>
            <w:caps/>
            <w:sz w:val="28"/>
            <w:szCs w:val="28"/>
          </w:rPr>
          <w:t xml:space="preserve">CHAPITRE II                             </w:t>
        </w:r>
        <w:r w:rsidR="00A90324">
          <w:rPr>
            <w:rFonts w:asciiTheme="majorBidi" w:eastAsiaTheme="majorEastAsia" w:hAnsiTheme="majorBidi" w:cstheme="majorBidi"/>
            <w:b/>
            <w:bCs/>
            <w:i/>
            <w:iCs/>
            <w:caps/>
            <w:sz w:val="28"/>
            <w:szCs w:val="28"/>
          </w:rPr>
          <w:t xml:space="preserve">     </w:t>
        </w:r>
        <w:r w:rsidR="00FD483B">
          <w:rPr>
            <w:rFonts w:asciiTheme="majorBidi" w:eastAsiaTheme="majorEastAsia" w:hAnsiTheme="majorBidi" w:cstheme="majorBidi"/>
            <w:b/>
            <w:bCs/>
            <w:i/>
            <w:iCs/>
            <w:caps/>
            <w:sz w:val="28"/>
            <w:szCs w:val="28"/>
          </w:rPr>
          <w:t xml:space="preserve">     </w:t>
        </w:r>
        <w:r w:rsidR="00A90324">
          <w:rPr>
            <w:rFonts w:asciiTheme="majorBidi" w:eastAsiaTheme="majorEastAsia" w:hAnsiTheme="majorBidi" w:cstheme="majorBidi"/>
            <w:b/>
            <w:bCs/>
            <w:i/>
            <w:iCs/>
            <w:caps/>
            <w:sz w:val="28"/>
            <w:szCs w:val="28"/>
          </w:rPr>
          <w:t xml:space="preserve">   Techniques </w:t>
        </w:r>
        <w:r w:rsidRPr="00A90324">
          <w:rPr>
            <w:rFonts w:asciiTheme="majorBidi" w:eastAsiaTheme="majorEastAsia" w:hAnsiTheme="majorBidi" w:cstheme="majorBidi"/>
            <w:b/>
            <w:bCs/>
            <w:i/>
            <w:iCs/>
            <w:caps/>
            <w:sz w:val="28"/>
            <w:szCs w:val="28"/>
          </w:rPr>
          <w:t>Expérimentales</w:t>
        </w:r>
      </w:p>
    </w:sdtContent>
  </w:sdt>
  <w:p w:rsidR="009C1CFA" w:rsidRPr="00A90324" w:rsidRDefault="009C1CFA">
    <w:pPr>
      <w:pStyle w:val="En-tte"/>
      <w:rPr>
        <w:i/>
        <w:iCs/>
        <w:cap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30EE6"/>
    <w:multiLevelType w:val="hybridMultilevel"/>
    <w:tmpl w:val="B7F48B7A"/>
    <w:lvl w:ilvl="0" w:tplc="040C000B">
      <w:start w:val="1"/>
      <w:numFmt w:val="bullet"/>
      <w:lvlText w:val=""/>
      <w:lvlJc w:val="left"/>
      <w:pPr>
        <w:ind w:left="928" w:hanging="360"/>
      </w:pPr>
      <w:rPr>
        <w:rFonts w:ascii="Wingdings" w:hAnsi="Wingdings" w:hint="default"/>
        <w:sz w:val="24"/>
        <w:szCs w:val="24"/>
      </w:rPr>
    </w:lvl>
    <w:lvl w:ilvl="1" w:tplc="040C0003" w:tentative="1">
      <w:start w:val="1"/>
      <w:numFmt w:val="bullet"/>
      <w:lvlText w:val="o"/>
      <w:lvlJc w:val="left"/>
      <w:pPr>
        <w:ind w:left="1953" w:hanging="360"/>
      </w:pPr>
      <w:rPr>
        <w:rFonts w:ascii="Courier New" w:hAnsi="Courier New" w:cs="Courier New" w:hint="default"/>
      </w:rPr>
    </w:lvl>
    <w:lvl w:ilvl="2" w:tplc="040C0005" w:tentative="1">
      <w:start w:val="1"/>
      <w:numFmt w:val="bullet"/>
      <w:lvlText w:val=""/>
      <w:lvlJc w:val="left"/>
      <w:pPr>
        <w:ind w:left="2673" w:hanging="360"/>
      </w:pPr>
      <w:rPr>
        <w:rFonts w:ascii="Wingdings" w:hAnsi="Wingdings" w:hint="default"/>
      </w:rPr>
    </w:lvl>
    <w:lvl w:ilvl="3" w:tplc="040C0001" w:tentative="1">
      <w:start w:val="1"/>
      <w:numFmt w:val="bullet"/>
      <w:lvlText w:val=""/>
      <w:lvlJc w:val="left"/>
      <w:pPr>
        <w:ind w:left="3393" w:hanging="360"/>
      </w:pPr>
      <w:rPr>
        <w:rFonts w:ascii="Symbol" w:hAnsi="Symbol" w:hint="default"/>
      </w:rPr>
    </w:lvl>
    <w:lvl w:ilvl="4" w:tplc="040C0003" w:tentative="1">
      <w:start w:val="1"/>
      <w:numFmt w:val="bullet"/>
      <w:lvlText w:val="o"/>
      <w:lvlJc w:val="left"/>
      <w:pPr>
        <w:ind w:left="4113" w:hanging="360"/>
      </w:pPr>
      <w:rPr>
        <w:rFonts w:ascii="Courier New" w:hAnsi="Courier New" w:cs="Courier New" w:hint="default"/>
      </w:rPr>
    </w:lvl>
    <w:lvl w:ilvl="5" w:tplc="040C0005" w:tentative="1">
      <w:start w:val="1"/>
      <w:numFmt w:val="bullet"/>
      <w:lvlText w:val=""/>
      <w:lvlJc w:val="left"/>
      <w:pPr>
        <w:ind w:left="4833" w:hanging="360"/>
      </w:pPr>
      <w:rPr>
        <w:rFonts w:ascii="Wingdings" w:hAnsi="Wingdings" w:hint="default"/>
      </w:rPr>
    </w:lvl>
    <w:lvl w:ilvl="6" w:tplc="040C0001" w:tentative="1">
      <w:start w:val="1"/>
      <w:numFmt w:val="bullet"/>
      <w:lvlText w:val=""/>
      <w:lvlJc w:val="left"/>
      <w:pPr>
        <w:ind w:left="5553" w:hanging="360"/>
      </w:pPr>
      <w:rPr>
        <w:rFonts w:ascii="Symbol" w:hAnsi="Symbol" w:hint="default"/>
      </w:rPr>
    </w:lvl>
    <w:lvl w:ilvl="7" w:tplc="040C0003" w:tentative="1">
      <w:start w:val="1"/>
      <w:numFmt w:val="bullet"/>
      <w:lvlText w:val="o"/>
      <w:lvlJc w:val="left"/>
      <w:pPr>
        <w:ind w:left="6273" w:hanging="360"/>
      </w:pPr>
      <w:rPr>
        <w:rFonts w:ascii="Courier New" w:hAnsi="Courier New" w:cs="Courier New" w:hint="default"/>
      </w:rPr>
    </w:lvl>
    <w:lvl w:ilvl="8" w:tplc="040C0005" w:tentative="1">
      <w:start w:val="1"/>
      <w:numFmt w:val="bullet"/>
      <w:lvlText w:val=""/>
      <w:lvlJc w:val="left"/>
      <w:pPr>
        <w:ind w:left="6993" w:hanging="360"/>
      </w:pPr>
      <w:rPr>
        <w:rFonts w:ascii="Wingdings" w:hAnsi="Wingdings" w:hint="default"/>
      </w:rPr>
    </w:lvl>
  </w:abstractNum>
  <w:abstractNum w:abstractNumId="1">
    <w:nsid w:val="0BFB5135"/>
    <w:multiLevelType w:val="multilevel"/>
    <w:tmpl w:val="4FFAAC38"/>
    <w:lvl w:ilvl="0">
      <w:start w:val="3"/>
      <w:numFmt w:val="decimal"/>
      <w:lvlText w:val="%1."/>
      <w:lvlJc w:val="left"/>
      <w:pPr>
        <w:ind w:left="360" w:hanging="360"/>
      </w:pPr>
      <w:rPr>
        <w:rFonts w:hint="default"/>
        <w:i/>
      </w:rPr>
    </w:lvl>
    <w:lvl w:ilvl="1">
      <w:start w:val="4"/>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nsid w:val="14AA6591"/>
    <w:multiLevelType w:val="hybridMultilevel"/>
    <w:tmpl w:val="2D8842EA"/>
    <w:lvl w:ilvl="0" w:tplc="760A035C">
      <w:start w:val="1"/>
      <w:numFmt w:val="decimal"/>
      <w:lvlText w:val="%1."/>
      <w:lvlJc w:val="left"/>
      <w:pPr>
        <w:ind w:left="720" w:hanging="36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AD51216"/>
    <w:multiLevelType w:val="hybridMultilevel"/>
    <w:tmpl w:val="27E26784"/>
    <w:lvl w:ilvl="0" w:tplc="A60EEBBC">
      <w:start w:val="1"/>
      <w:numFmt w:val="lowerLetter"/>
      <w:lvlText w:val="(%1)"/>
      <w:lvlJc w:val="left"/>
      <w:pPr>
        <w:ind w:left="4125" w:hanging="376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E4F661C"/>
    <w:multiLevelType w:val="multilevel"/>
    <w:tmpl w:val="084E08B2"/>
    <w:lvl w:ilvl="0">
      <w:start w:val="1"/>
      <w:numFmt w:val="upperRoman"/>
      <w:pStyle w:val="Titre1"/>
      <w:lvlText w:val="%1."/>
      <w:lvlJc w:val="left"/>
      <w:pPr>
        <w:tabs>
          <w:tab w:val="num" w:pos="1800"/>
        </w:tabs>
        <w:ind w:left="1800" w:hanging="360"/>
      </w:pPr>
      <w:rPr>
        <w:rFonts w:ascii="Monotype Corsiva" w:hAnsi="Monotype Corsiva" w:cs="Times New Roman" w:hint="default"/>
        <w:b w:val="0"/>
        <w:bCs/>
        <w:i w:val="0"/>
        <w:iCs w:val="0"/>
        <w:caps w:val="0"/>
        <w:smallCaps w:val="0"/>
        <w:strike w:val="0"/>
        <w:dstrike w:val="0"/>
        <w:outline w:val="0"/>
        <w:shadow w:val="0"/>
        <w:emboss w:val="0"/>
        <w:imprint w:val="0"/>
        <w:noProof w:val="0"/>
        <w:snapToGrid w:val="0"/>
        <w:vanish w:val="0"/>
        <w:color w:val="000000"/>
        <w:spacing w:val="0"/>
        <w:w w:val="0"/>
        <w:kern w:val="0"/>
        <w:position w:val="0"/>
        <w:sz w:val="96"/>
        <w:szCs w:val="96"/>
        <w:u w:val="none"/>
        <w:vertAlign w:val="baseline"/>
        <w:em w:val="none"/>
      </w:rPr>
    </w:lvl>
    <w:lvl w:ilvl="1">
      <w:start w:val="1"/>
      <w:numFmt w:val="decimal"/>
      <w:lvlText w:val="%1.%2."/>
      <w:lvlJc w:val="left"/>
      <w:pPr>
        <w:tabs>
          <w:tab w:val="num" w:pos="2520"/>
        </w:tabs>
        <w:ind w:left="2232" w:hanging="432"/>
      </w:pPr>
      <w:rPr>
        <w:rFonts w:ascii="Times New Roman" w:hAnsi="Times New Roman" w:hint="default"/>
        <w:szCs w:val="24"/>
      </w:rPr>
    </w:lvl>
    <w:lvl w:ilvl="2">
      <w:start w:val="1"/>
      <w:numFmt w:val="decimal"/>
      <w:pStyle w:val="Titre3"/>
      <w:lvlText w:val="%1.%2.%3."/>
      <w:lvlJc w:val="left"/>
      <w:pPr>
        <w:tabs>
          <w:tab w:val="num" w:pos="2880"/>
        </w:tabs>
        <w:ind w:left="266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Titre4"/>
      <w:lvlText w:val="%1.%2.%3.%4."/>
      <w:lvlJc w:val="left"/>
      <w:pPr>
        <w:tabs>
          <w:tab w:val="num" w:pos="3600"/>
        </w:tabs>
        <w:ind w:left="3168" w:hanging="648"/>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4320"/>
        </w:tabs>
        <w:ind w:left="3672" w:hanging="792"/>
      </w:pPr>
      <w:rPr>
        <w:rFonts w:hint="default"/>
      </w:rPr>
    </w:lvl>
    <w:lvl w:ilvl="5">
      <w:start w:val="1"/>
      <w:numFmt w:val="decimal"/>
      <w:lvlText w:val="%1.%2.%3.%4.%5.%6."/>
      <w:lvlJc w:val="left"/>
      <w:pPr>
        <w:tabs>
          <w:tab w:val="num" w:pos="4680"/>
        </w:tabs>
        <w:ind w:left="4176" w:hanging="936"/>
      </w:pPr>
      <w:rPr>
        <w:rFonts w:hint="default"/>
      </w:rPr>
    </w:lvl>
    <w:lvl w:ilvl="6">
      <w:start w:val="1"/>
      <w:numFmt w:val="decimal"/>
      <w:lvlText w:val="%1.%2.%3.%4.%5.%6.%7."/>
      <w:lvlJc w:val="left"/>
      <w:pPr>
        <w:tabs>
          <w:tab w:val="num" w:pos="5400"/>
        </w:tabs>
        <w:ind w:left="4680" w:hanging="1080"/>
      </w:pPr>
      <w:rPr>
        <w:rFonts w:hint="default"/>
      </w:rPr>
    </w:lvl>
    <w:lvl w:ilvl="7">
      <w:start w:val="1"/>
      <w:numFmt w:val="decimal"/>
      <w:lvlText w:val="%1.%2.%3.%4.%5.%6.%7.%8."/>
      <w:lvlJc w:val="left"/>
      <w:pPr>
        <w:tabs>
          <w:tab w:val="num" w:pos="612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5">
    <w:nsid w:val="20C31817"/>
    <w:multiLevelType w:val="hybridMultilevel"/>
    <w:tmpl w:val="27E26784"/>
    <w:lvl w:ilvl="0" w:tplc="A60EEBBC">
      <w:start w:val="1"/>
      <w:numFmt w:val="lowerLetter"/>
      <w:lvlText w:val="(%1)"/>
      <w:lvlJc w:val="left"/>
      <w:pPr>
        <w:ind w:left="4125" w:hanging="376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5E15AFC"/>
    <w:multiLevelType w:val="hybridMultilevel"/>
    <w:tmpl w:val="B70CD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6997215"/>
    <w:multiLevelType w:val="hybridMultilevel"/>
    <w:tmpl w:val="8310A07E"/>
    <w:lvl w:ilvl="0" w:tplc="5E38DEB6">
      <w:start w:val="3"/>
      <w:numFmt w:val="bullet"/>
      <w:lvlText w:val=""/>
      <w:lvlJc w:val="left"/>
      <w:pPr>
        <w:ind w:left="1637" w:hanging="360"/>
      </w:pPr>
      <w:rPr>
        <w:rFonts w:ascii="Symbol" w:eastAsiaTheme="minorHAnsi" w:hAnsi="Symbol" w:cstheme="minorBid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8">
    <w:nsid w:val="38624886"/>
    <w:multiLevelType w:val="hybridMultilevel"/>
    <w:tmpl w:val="ECDC561C"/>
    <w:lvl w:ilvl="0" w:tplc="B6ECE984">
      <w:start w:val="1"/>
      <w:numFmt w:val="bullet"/>
      <w:lvlText w:val="-"/>
      <w:lvlJc w:val="left"/>
      <w:pPr>
        <w:ind w:left="1288" w:hanging="360"/>
      </w:pPr>
      <w:rPr>
        <w:rFonts w:ascii="Times New Roman" w:eastAsiaTheme="minorEastAsia" w:hAnsi="Times New Roman" w:cs="Times New Roman"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9">
    <w:nsid w:val="398D1454"/>
    <w:multiLevelType w:val="multilevel"/>
    <w:tmpl w:val="0C86E29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CD754A2"/>
    <w:multiLevelType w:val="multilevel"/>
    <w:tmpl w:val="8C16ADD4"/>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1">
    <w:nsid w:val="70607523"/>
    <w:multiLevelType w:val="multilevel"/>
    <w:tmpl w:val="0AE06D36"/>
    <w:lvl w:ilvl="0">
      <w:start w:val="2"/>
      <w:numFmt w:val="decimal"/>
      <w:lvlText w:val="%1"/>
      <w:lvlJc w:val="left"/>
      <w:pPr>
        <w:ind w:left="480" w:hanging="480"/>
      </w:pPr>
      <w:rPr>
        <w:rFonts w:hint="default"/>
      </w:rPr>
    </w:lvl>
    <w:lvl w:ilvl="1">
      <w:start w:val="4"/>
      <w:numFmt w:val="decimal"/>
      <w:lvlText w:val="%1.%2"/>
      <w:lvlJc w:val="left"/>
      <w:pPr>
        <w:ind w:left="1132" w:hanging="480"/>
      </w:pPr>
      <w:rPr>
        <w:rFonts w:hint="default"/>
      </w:rPr>
    </w:lvl>
    <w:lvl w:ilvl="2">
      <w:start w:val="2"/>
      <w:numFmt w:val="decimal"/>
      <w:lvlText w:val="%1.%2.%3"/>
      <w:lvlJc w:val="left"/>
      <w:pPr>
        <w:ind w:left="2024" w:hanging="720"/>
      </w:pPr>
      <w:rPr>
        <w:rFonts w:hint="default"/>
      </w:rPr>
    </w:lvl>
    <w:lvl w:ilvl="3">
      <w:start w:val="1"/>
      <w:numFmt w:val="decimal"/>
      <w:lvlText w:val="%1.%2.%3.%4"/>
      <w:lvlJc w:val="left"/>
      <w:pPr>
        <w:ind w:left="2676" w:hanging="72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340" w:hanging="1080"/>
      </w:pPr>
      <w:rPr>
        <w:rFonts w:hint="default"/>
      </w:rPr>
    </w:lvl>
    <w:lvl w:ilvl="6">
      <w:start w:val="1"/>
      <w:numFmt w:val="decimal"/>
      <w:lvlText w:val="%1.%2.%3.%4.%5.%6.%7"/>
      <w:lvlJc w:val="left"/>
      <w:pPr>
        <w:ind w:left="5352" w:hanging="1440"/>
      </w:pPr>
      <w:rPr>
        <w:rFonts w:hint="default"/>
      </w:rPr>
    </w:lvl>
    <w:lvl w:ilvl="7">
      <w:start w:val="1"/>
      <w:numFmt w:val="decimal"/>
      <w:lvlText w:val="%1.%2.%3.%4.%5.%6.%7.%8"/>
      <w:lvlJc w:val="left"/>
      <w:pPr>
        <w:ind w:left="6004" w:hanging="1440"/>
      </w:pPr>
      <w:rPr>
        <w:rFonts w:hint="default"/>
      </w:rPr>
    </w:lvl>
    <w:lvl w:ilvl="8">
      <w:start w:val="1"/>
      <w:numFmt w:val="decimal"/>
      <w:lvlText w:val="%1.%2.%3.%4.%5.%6.%7.%8.%9"/>
      <w:lvlJc w:val="left"/>
      <w:pPr>
        <w:ind w:left="7016" w:hanging="1800"/>
      </w:pPr>
      <w:rPr>
        <w:rFonts w:hint="default"/>
      </w:rPr>
    </w:lvl>
  </w:abstractNum>
  <w:abstractNum w:abstractNumId="12">
    <w:nsid w:val="706E0224"/>
    <w:multiLevelType w:val="multilevel"/>
    <w:tmpl w:val="7CD0A976"/>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6"/>
  </w:num>
  <w:num w:numId="3">
    <w:abstractNumId w:val="0"/>
  </w:num>
  <w:num w:numId="4">
    <w:abstractNumId w:val="8"/>
  </w:num>
  <w:num w:numId="5">
    <w:abstractNumId w:val="7"/>
  </w:num>
  <w:num w:numId="6">
    <w:abstractNumId w:val="4"/>
  </w:num>
  <w:num w:numId="7">
    <w:abstractNumId w:val="11"/>
  </w:num>
  <w:num w:numId="8">
    <w:abstractNumId w:val="2"/>
  </w:num>
  <w:num w:numId="9">
    <w:abstractNumId w:val="1"/>
  </w:num>
  <w:num w:numId="10">
    <w:abstractNumId w:val="12"/>
  </w:num>
  <w:num w:numId="11">
    <w:abstractNumId w:val="9"/>
  </w:num>
  <w:num w:numId="12">
    <w:abstractNumId w:val="5"/>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drawingGridHorizontalSpacing w:val="110"/>
  <w:displayHorizontalDrawingGridEvery w:val="2"/>
  <w:characterSpacingControl w:val="doNotCompress"/>
  <w:hdrShapeDefaults>
    <o:shapedefaults v:ext="edit" spidmax="14338">
      <o:colormenu v:ext="edit" strokecolor="none"/>
    </o:shapedefaults>
    <o:shapelayout v:ext="edit">
      <o:idmap v:ext="edit" data="2"/>
    </o:shapelayout>
  </w:hdrShapeDefaults>
  <w:footnotePr>
    <w:footnote w:id="0"/>
    <w:footnote w:id="1"/>
  </w:footnotePr>
  <w:endnotePr>
    <w:endnote w:id="0"/>
    <w:endnote w:id="1"/>
  </w:endnotePr>
  <w:compat>
    <w:useFELayout/>
  </w:compat>
  <w:rsids>
    <w:rsidRoot w:val="00F205F1"/>
    <w:rsid w:val="000079B8"/>
    <w:rsid w:val="000147A3"/>
    <w:rsid w:val="00032540"/>
    <w:rsid w:val="0007522B"/>
    <w:rsid w:val="00082CF9"/>
    <w:rsid w:val="00086838"/>
    <w:rsid w:val="000A4C71"/>
    <w:rsid w:val="000B7B69"/>
    <w:rsid w:val="000C0A12"/>
    <w:rsid w:val="000C189A"/>
    <w:rsid w:val="000C6293"/>
    <w:rsid w:val="000E5F3F"/>
    <w:rsid w:val="000F11FC"/>
    <w:rsid w:val="00116FCF"/>
    <w:rsid w:val="001312AF"/>
    <w:rsid w:val="00182AC4"/>
    <w:rsid w:val="001C0BE4"/>
    <w:rsid w:val="001D3922"/>
    <w:rsid w:val="00202ED7"/>
    <w:rsid w:val="00255593"/>
    <w:rsid w:val="00277657"/>
    <w:rsid w:val="002A2D58"/>
    <w:rsid w:val="002B4012"/>
    <w:rsid w:val="002B592B"/>
    <w:rsid w:val="002C5437"/>
    <w:rsid w:val="002C6725"/>
    <w:rsid w:val="002E3667"/>
    <w:rsid w:val="002F2F7F"/>
    <w:rsid w:val="00304E04"/>
    <w:rsid w:val="003212CC"/>
    <w:rsid w:val="00326D28"/>
    <w:rsid w:val="00331423"/>
    <w:rsid w:val="00350500"/>
    <w:rsid w:val="00364B90"/>
    <w:rsid w:val="00365FC7"/>
    <w:rsid w:val="0036642F"/>
    <w:rsid w:val="00382907"/>
    <w:rsid w:val="003C66CC"/>
    <w:rsid w:val="003D289E"/>
    <w:rsid w:val="003D32CA"/>
    <w:rsid w:val="003D6B7A"/>
    <w:rsid w:val="0040013F"/>
    <w:rsid w:val="00413E2D"/>
    <w:rsid w:val="004371F1"/>
    <w:rsid w:val="00443EA2"/>
    <w:rsid w:val="004542C4"/>
    <w:rsid w:val="0047278F"/>
    <w:rsid w:val="004849FC"/>
    <w:rsid w:val="004A3BEA"/>
    <w:rsid w:val="004F156B"/>
    <w:rsid w:val="004F46D2"/>
    <w:rsid w:val="0051610A"/>
    <w:rsid w:val="0054491F"/>
    <w:rsid w:val="0055005D"/>
    <w:rsid w:val="005918AD"/>
    <w:rsid w:val="005A248F"/>
    <w:rsid w:val="005A3F15"/>
    <w:rsid w:val="005D64A7"/>
    <w:rsid w:val="005F6BD6"/>
    <w:rsid w:val="00600074"/>
    <w:rsid w:val="006113CB"/>
    <w:rsid w:val="00622AD1"/>
    <w:rsid w:val="00634F45"/>
    <w:rsid w:val="00646978"/>
    <w:rsid w:val="00650600"/>
    <w:rsid w:val="00656F52"/>
    <w:rsid w:val="006651B3"/>
    <w:rsid w:val="006D128E"/>
    <w:rsid w:val="00701086"/>
    <w:rsid w:val="00742DCE"/>
    <w:rsid w:val="007447CE"/>
    <w:rsid w:val="00751F19"/>
    <w:rsid w:val="007554F3"/>
    <w:rsid w:val="007820CD"/>
    <w:rsid w:val="007875F6"/>
    <w:rsid w:val="007A0DB4"/>
    <w:rsid w:val="007B6302"/>
    <w:rsid w:val="007C5713"/>
    <w:rsid w:val="00801EF0"/>
    <w:rsid w:val="00804D28"/>
    <w:rsid w:val="008050AC"/>
    <w:rsid w:val="008164FB"/>
    <w:rsid w:val="0081657E"/>
    <w:rsid w:val="00825DE6"/>
    <w:rsid w:val="0084009E"/>
    <w:rsid w:val="008536FB"/>
    <w:rsid w:val="0085468B"/>
    <w:rsid w:val="0087566D"/>
    <w:rsid w:val="00895057"/>
    <w:rsid w:val="008A44FF"/>
    <w:rsid w:val="008B4326"/>
    <w:rsid w:val="008D3FE0"/>
    <w:rsid w:val="008E36BF"/>
    <w:rsid w:val="008F56C1"/>
    <w:rsid w:val="00900B72"/>
    <w:rsid w:val="00906D9A"/>
    <w:rsid w:val="00917054"/>
    <w:rsid w:val="00933CC0"/>
    <w:rsid w:val="0098432E"/>
    <w:rsid w:val="009A6F8F"/>
    <w:rsid w:val="009C1CFA"/>
    <w:rsid w:val="009C2D32"/>
    <w:rsid w:val="009F21DF"/>
    <w:rsid w:val="00A13DCB"/>
    <w:rsid w:val="00A245C2"/>
    <w:rsid w:val="00A34BA3"/>
    <w:rsid w:val="00A35FF4"/>
    <w:rsid w:val="00A65B94"/>
    <w:rsid w:val="00A82506"/>
    <w:rsid w:val="00A872A2"/>
    <w:rsid w:val="00A90324"/>
    <w:rsid w:val="00A95DE7"/>
    <w:rsid w:val="00AA5C10"/>
    <w:rsid w:val="00AB03C8"/>
    <w:rsid w:val="00AB3559"/>
    <w:rsid w:val="00AE69A0"/>
    <w:rsid w:val="00B02260"/>
    <w:rsid w:val="00B055DB"/>
    <w:rsid w:val="00B12985"/>
    <w:rsid w:val="00B728A2"/>
    <w:rsid w:val="00B85E7B"/>
    <w:rsid w:val="00BB0DDE"/>
    <w:rsid w:val="00BB311F"/>
    <w:rsid w:val="00BE1BE8"/>
    <w:rsid w:val="00C06CCA"/>
    <w:rsid w:val="00C07186"/>
    <w:rsid w:val="00C518C3"/>
    <w:rsid w:val="00C54273"/>
    <w:rsid w:val="00C64066"/>
    <w:rsid w:val="00C70286"/>
    <w:rsid w:val="00C82D45"/>
    <w:rsid w:val="00C91983"/>
    <w:rsid w:val="00C927E9"/>
    <w:rsid w:val="00C95987"/>
    <w:rsid w:val="00CA19A8"/>
    <w:rsid w:val="00CC4C64"/>
    <w:rsid w:val="00CD3B72"/>
    <w:rsid w:val="00CE2440"/>
    <w:rsid w:val="00CF269C"/>
    <w:rsid w:val="00D04126"/>
    <w:rsid w:val="00D06A71"/>
    <w:rsid w:val="00D113FF"/>
    <w:rsid w:val="00D36972"/>
    <w:rsid w:val="00D45AEF"/>
    <w:rsid w:val="00D47C03"/>
    <w:rsid w:val="00D5579F"/>
    <w:rsid w:val="00D73143"/>
    <w:rsid w:val="00DB4DFA"/>
    <w:rsid w:val="00DC3CAE"/>
    <w:rsid w:val="00E00111"/>
    <w:rsid w:val="00E0700D"/>
    <w:rsid w:val="00E26CE3"/>
    <w:rsid w:val="00E27CA4"/>
    <w:rsid w:val="00E30257"/>
    <w:rsid w:val="00E509CC"/>
    <w:rsid w:val="00E56845"/>
    <w:rsid w:val="00E57740"/>
    <w:rsid w:val="00E7000C"/>
    <w:rsid w:val="00E83D9A"/>
    <w:rsid w:val="00E9326F"/>
    <w:rsid w:val="00EA2EC5"/>
    <w:rsid w:val="00ED7163"/>
    <w:rsid w:val="00F033BA"/>
    <w:rsid w:val="00F141AE"/>
    <w:rsid w:val="00F205F1"/>
    <w:rsid w:val="00F425CB"/>
    <w:rsid w:val="00F52A49"/>
    <w:rsid w:val="00F60025"/>
    <w:rsid w:val="00F93C34"/>
    <w:rsid w:val="00FA2F8E"/>
    <w:rsid w:val="00FB0028"/>
    <w:rsid w:val="00FD483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colormenu v:ext="edit" strokecolor="none"/>
    </o:shapedefaults>
    <o:shapelayout v:ext="edit">
      <o:idmap v:ext="edit" data="1"/>
      <o:regrouptable v:ext="edit">
        <o:entry new="1" old="0"/>
        <o:entry new="2" old="1"/>
        <o:entry new="3" old="2"/>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5C2"/>
  </w:style>
  <w:style w:type="paragraph" w:styleId="Titre1">
    <w:name w:val="heading 1"/>
    <w:basedOn w:val="Titre"/>
    <w:next w:val="Corpsdetexte"/>
    <w:link w:val="Titre1Car"/>
    <w:qFormat/>
    <w:rsid w:val="00751F19"/>
    <w:pPr>
      <w:keepNext/>
      <w:numPr>
        <w:numId w:val="6"/>
      </w:numPr>
      <w:pBdr>
        <w:bottom w:val="none" w:sz="0" w:space="0" w:color="auto"/>
      </w:pBdr>
      <w:spacing w:before="4800" w:after="120" w:line="360" w:lineRule="auto"/>
      <w:contextualSpacing w:val="0"/>
      <w:jc w:val="center"/>
      <w:outlineLvl w:val="0"/>
    </w:pPr>
    <w:rPr>
      <w:rFonts w:ascii="Calibri" w:eastAsia="Calibri" w:hAnsi="Calibri" w:cs="Arial"/>
      <w:b/>
      <w:color w:val="auto"/>
      <w:spacing w:val="0"/>
      <w:kern w:val="32"/>
      <w:sz w:val="56"/>
      <w:szCs w:val="32"/>
      <w:lang w:eastAsia="en-US"/>
    </w:rPr>
  </w:style>
  <w:style w:type="paragraph" w:styleId="Titre2">
    <w:name w:val="heading 2"/>
    <w:basedOn w:val="Titre1"/>
    <w:next w:val="Corpsdetexte"/>
    <w:link w:val="Titre2Car"/>
    <w:autoRedefine/>
    <w:qFormat/>
    <w:rsid w:val="00C91983"/>
    <w:pPr>
      <w:numPr>
        <w:numId w:val="0"/>
      </w:numPr>
      <w:spacing w:before="240" w:after="240"/>
      <w:ind w:left="644"/>
      <w:jc w:val="both"/>
      <w:outlineLvl w:val="1"/>
    </w:pPr>
    <w:rPr>
      <w:rFonts w:ascii="Times New Roman" w:hAnsi="Times New Roman" w:cs="Times New Roman"/>
      <w:bCs/>
      <w:i/>
      <w:iCs/>
      <w:color w:val="000000"/>
      <w:sz w:val="24"/>
      <w:szCs w:val="24"/>
    </w:rPr>
  </w:style>
  <w:style w:type="paragraph" w:styleId="Titre3">
    <w:name w:val="heading 3"/>
    <w:basedOn w:val="Titre2"/>
    <w:next w:val="Corpsdetexte"/>
    <w:link w:val="Titre3Car"/>
    <w:autoRedefine/>
    <w:qFormat/>
    <w:rsid w:val="00751F19"/>
    <w:pPr>
      <w:numPr>
        <w:ilvl w:val="2"/>
        <w:numId w:val="6"/>
      </w:numPr>
      <w:tabs>
        <w:tab w:val="left" w:pos="1440"/>
        <w:tab w:val="left" w:pos="1620"/>
      </w:tabs>
      <w:spacing w:after="120"/>
      <w:outlineLvl w:val="2"/>
    </w:pPr>
    <w:rPr>
      <w:lang w:val="en-GB"/>
    </w:rPr>
  </w:style>
  <w:style w:type="paragraph" w:styleId="Titre4">
    <w:name w:val="heading 4"/>
    <w:basedOn w:val="Titre3"/>
    <w:next w:val="Corpsdetexte"/>
    <w:link w:val="Titre4Car"/>
    <w:qFormat/>
    <w:rsid w:val="00751F19"/>
    <w:pPr>
      <w:numPr>
        <w:ilvl w:val="3"/>
      </w:numPr>
      <w:spacing w:after="60"/>
      <w:outlineLvl w:val="3"/>
    </w:pPr>
    <w:rPr>
      <w:i w:val="0"/>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205F1"/>
    <w:pPr>
      <w:spacing w:after="0" w:line="360" w:lineRule="auto"/>
      <w:ind w:left="720"/>
      <w:contextualSpacing/>
      <w:jc w:val="both"/>
    </w:pPr>
  </w:style>
  <w:style w:type="paragraph" w:customStyle="1" w:styleId="Default">
    <w:name w:val="Default"/>
    <w:rsid w:val="00F205F1"/>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Titre1Car">
    <w:name w:val="Titre 1 Car"/>
    <w:basedOn w:val="Policepardfaut"/>
    <w:link w:val="Titre1"/>
    <w:rsid w:val="00751F19"/>
    <w:rPr>
      <w:rFonts w:ascii="Calibri" w:eastAsia="Calibri" w:hAnsi="Calibri" w:cs="Arial"/>
      <w:b/>
      <w:kern w:val="32"/>
      <w:sz w:val="56"/>
      <w:szCs w:val="32"/>
      <w:lang w:eastAsia="en-US"/>
    </w:rPr>
  </w:style>
  <w:style w:type="character" w:customStyle="1" w:styleId="Titre2Car">
    <w:name w:val="Titre 2 Car"/>
    <w:basedOn w:val="Policepardfaut"/>
    <w:link w:val="Titre2"/>
    <w:rsid w:val="00C91983"/>
    <w:rPr>
      <w:rFonts w:ascii="Times New Roman" w:eastAsia="Calibri" w:hAnsi="Times New Roman" w:cs="Times New Roman"/>
      <w:b/>
      <w:bCs/>
      <w:i/>
      <w:iCs/>
      <w:color w:val="000000"/>
      <w:kern w:val="32"/>
      <w:sz w:val="24"/>
      <w:szCs w:val="24"/>
      <w:lang w:eastAsia="en-US"/>
    </w:rPr>
  </w:style>
  <w:style w:type="character" w:customStyle="1" w:styleId="Titre3Car">
    <w:name w:val="Titre 3 Car"/>
    <w:basedOn w:val="Policepardfaut"/>
    <w:link w:val="Titre3"/>
    <w:rsid w:val="00751F19"/>
    <w:rPr>
      <w:rFonts w:asciiTheme="majorBidi" w:eastAsia="Calibri" w:hAnsiTheme="majorBidi" w:cstheme="majorBidi"/>
      <w:b/>
      <w:bCs/>
      <w:i/>
      <w:color w:val="000000"/>
      <w:kern w:val="32"/>
      <w:sz w:val="24"/>
      <w:szCs w:val="24"/>
      <w:lang w:val="en-GB" w:eastAsia="en-US"/>
    </w:rPr>
  </w:style>
  <w:style w:type="character" w:customStyle="1" w:styleId="Titre4Car">
    <w:name w:val="Titre 4 Car"/>
    <w:basedOn w:val="Policepardfaut"/>
    <w:link w:val="Titre4"/>
    <w:rsid w:val="00751F19"/>
    <w:rPr>
      <w:rFonts w:asciiTheme="majorBidi" w:eastAsia="Calibri" w:hAnsiTheme="majorBidi" w:cstheme="majorBidi"/>
      <w:b/>
      <w:bCs/>
      <w:color w:val="000000"/>
      <w:kern w:val="32"/>
      <w:sz w:val="26"/>
      <w:szCs w:val="24"/>
      <w:lang w:val="en-GB" w:eastAsia="en-US"/>
    </w:rPr>
  </w:style>
  <w:style w:type="paragraph" w:customStyle="1" w:styleId="StyleTitre3Justifi">
    <w:name w:val="Style Titre 3 + Justifié"/>
    <w:basedOn w:val="Titre3"/>
    <w:rsid w:val="00751F19"/>
  </w:style>
  <w:style w:type="paragraph" w:styleId="Titre">
    <w:name w:val="Title"/>
    <w:basedOn w:val="Normal"/>
    <w:next w:val="Normal"/>
    <w:link w:val="TitreCar"/>
    <w:uiPriority w:val="10"/>
    <w:qFormat/>
    <w:rsid w:val="00751F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51F19"/>
    <w:rPr>
      <w:rFonts w:asciiTheme="majorHAnsi" w:eastAsiaTheme="majorEastAsia" w:hAnsiTheme="majorHAnsi" w:cstheme="majorBidi"/>
      <w:color w:val="17365D" w:themeColor="text2" w:themeShade="BF"/>
      <w:spacing w:val="5"/>
      <w:kern w:val="28"/>
      <w:sz w:val="52"/>
      <w:szCs w:val="52"/>
    </w:rPr>
  </w:style>
  <w:style w:type="paragraph" w:styleId="Corpsdetexte">
    <w:name w:val="Body Text"/>
    <w:basedOn w:val="Normal"/>
    <w:link w:val="CorpsdetexteCar"/>
    <w:uiPriority w:val="99"/>
    <w:semiHidden/>
    <w:unhideWhenUsed/>
    <w:rsid w:val="00751F19"/>
    <w:pPr>
      <w:spacing w:after="120"/>
    </w:pPr>
  </w:style>
  <w:style w:type="character" w:customStyle="1" w:styleId="CorpsdetexteCar">
    <w:name w:val="Corps de texte Car"/>
    <w:basedOn w:val="Policepardfaut"/>
    <w:link w:val="Corpsdetexte"/>
    <w:uiPriority w:val="99"/>
    <w:semiHidden/>
    <w:rsid w:val="00751F19"/>
  </w:style>
  <w:style w:type="paragraph" w:styleId="En-tte">
    <w:name w:val="header"/>
    <w:basedOn w:val="Normal"/>
    <w:link w:val="En-tteCar"/>
    <w:uiPriority w:val="99"/>
    <w:unhideWhenUsed/>
    <w:rsid w:val="0047278F"/>
    <w:pPr>
      <w:tabs>
        <w:tab w:val="center" w:pos="4536"/>
        <w:tab w:val="right" w:pos="9072"/>
      </w:tabs>
      <w:spacing w:after="0" w:line="240" w:lineRule="auto"/>
    </w:pPr>
  </w:style>
  <w:style w:type="character" w:customStyle="1" w:styleId="En-tteCar">
    <w:name w:val="En-tête Car"/>
    <w:basedOn w:val="Policepardfaut"/>
    <w:link w:val="En-tte"/>
    <w:uiPriority w:val="99"/>
    <w:rsid w:val="0047278F"/>
  </w:style>
  <w:style w:type="paragraph" w:styleId="Pieddepage">
    <w:name w:val="footer"/>
    <w:basedOn w:val="Normal"/>
    <w:link w:val="PieddepageCar"/>
    <w:uiPriority w:val="99"/>
    <w:unhideWhenUsed/>
    <w:rsid w:val="004727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78F"/>
  </w:style>
  <w:style w:type="paragraph" w:styleId="Textedebulles">
    <w:name w:val="Balloon Text"/>
    <w:basedOn w:val="Normal"/>
    <w:link w:val="TextedebullesCar"/>
    <w:uiPriority w:val="99"/>
    <w:semiHidden/>
    <w:unhideWhenUsed/>
    <w:rsid w:val="004727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7278F"/>
    <w:rPr>
      <w:rFonts w:ascii="Tahoma" w:hAnsi="Tahoma" w:cs="Tahoma"/>
      <w:sz w:val="16"/>
      <w:szCs w:val="16"/>
    </w:rPr>
  </w:style>
  <w:style w:type="table" w:styleId="Grilledutableau">
    <w:name w:val="Table Grid"/>
    <w:basedOn w:val="TableauNormal"/>
    <w:uiPriority w:val="59"/>
    <w:rsid w:val="005F6B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9.gif"/></Relationships>
</file>

<file path=word/_rels/footer2.xml.rels><?xml version="1.0" encoding="UTF-8" standalone="yes"?>
<Relationships xmlns="http://schemas.openxmlformats.org/package/2006/relationships"><Relationship Id="rId1" Type="http://schemas.openxmlformats.org/officeDocument/2006/relationships/image" Target="media/image9.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231DE9BEFEC447C8DB22C0AF7D921C1"/>
        <w:category>
          <w:name w:val="Général"/>
          <w:gallery w:val="placeholder"/>
        </w:category>
        <w:types>
          <w:type w:val="bbPlcHdr"/>
        </w:types>
        <w:behaviors>
          <w:behavior w:val="content"/>
        </w:behaviors>
        <w:guid w:val="{F9101A9C-33BE-432C-9E5D-42915501FF80}"/>
      </w:docPartPr>
      <w:docPartBody>
        <w:p w:rsidR="001B1BA9" w:rsidRDefault="007F5558" w:rsidP="007F5558">
          <w:pPr>
            <w:pStyle w:val="A231DE9BEFEC447C8DB22C0AF7D921C1"/>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7F5558"/>
    <w:rsid w:val="00111537"/>
    <w:rsid w:val="001334EC"/>
    <w:rsid w:val="00170765"/>
    <w:rsid w:val="001B1BA9"/>
    <w:rsid w:val="002673CA"/>
    <w:rsid w:val="00321E70"/>
    <w:rsid w:val="003329E1"/>
    <w:rsid w:val="003367B7"/>
    <w:rsid w:val="004438E7"/>
    <w:rsid w:val="00465EA4"/>
    <w:rsid w:val="005C05DE"/>
    <w:rsid w:val="005E36C4"/>
    <w:rsid w:val="006A2DCD"/>
    <w:rsid w:val="007022FD"/>
    <w:rsid w:val="007A672B"/>
    <w:rsid w:val="007F5558"/>
    <w:rsid w:val="00830773"/>
    <w:rsid w:val="00835F30"/>
    <w:rsid w:val="00901E6C"/>
    <w:rsid w:val="00926104"/>
    <w:rsid w:val="00945A25"/>
    <w:rsid w:val="00957076"/>
    <w:rsid w:val="009804F3"/>
    <w:rsid w:val="00A41271"/>
    <w:rsid w:val="00B312F6"/>
    <w:rsid w:val="00B759B1"/>
    <w:rsid w:val="00C42A43"/>
    <w:rsid w:val="00CD7CA8"/>
    <w:rsid w:val="00CF005C"/>
    <w:rsid w:val="00D1437A"/>
    <w:rsid w:val="00D4486B"/>
    <w:rsid w:val="00DD4144"/>
    <w:rsid w:val="00EF4652"/>
    <w:rsid w:val="00FA4729"/>
    <w:rsid w:val="00FF51D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BA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01D1608992C47678984AC6B451C28E3">
    <w:name w:val="801D1608992C47678984AC6B451C28E3"/>
    <w:rsid w:val="007F5558"/>
  </w:style>
  <w:style w:type="paragraph" w:customStyle="1" w:styleId="2850BC7A37FD489B9D9339E3C557E433">
    <w:name w:val="2850BC7A37FD489B9D9339E3C557E433"/>
    <w:rsid w:val="007F5558"/>
  </w:style>
  <w:style w:type="paragraph" w:customStyle="1" w:styleId="A231DE9BEFEC447C8DB22C0AF7D921C1">
    <w:name w:val="A231DE9BEFEC447C8DB22C0AF7D921C1"/>
    <w:rsid w:val="007F555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BCC70D-BCB7-496E-834B-4C472F2E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10</Pages>
  <Words>2685</Words>
  <Characters>14769</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CHAPITRE II                                                  Techniques Expérimentales</vt:lpstr>
    </vt:vector>
  </TitlesOfParts>
  <Company>HD</Company>
  <LinksUpToDate>false</LinksUpToDate>
  <CharactersWithSpaces>17420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II                                          Techniques Expérimentales</dc:title>
  <dc:subject/>
  <dc:creator>Ghost</dc:creator>
  <cp:keywords/>
  <dc:description/>
  <cp:lastModifiedBy>Ghost</cp:lastModifiedBy>
  <cp:revision>15</cp:revision>
  <dcterms:created xsi:type="dcterms:W3CDTF">2011-06-04T12:22:00Z</dcterms:created>
  <dcterms:modified xsi:type="dcterms:W3CDTF">2011-07-05T12:32:00Z</dcterms:modified>
</cp:coreProperties>
</file>